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5A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80E3FE7" w14:textId="77777777" w:rsidTr="005F7F7E">
        <w:tc>
          <w:tcPr>
            <w:tcW w:w="2438" w:type="dxa"/>
            <w:shd w:val="clear" w:color="auto" w:fill="auto"/>
          </w:tcPr>
          <w:p w14:paraId="0706200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064192" w14:textId="69266BFB" w:rsidR="00F445B1" w:rsidRPr="00F95BC9" w:rsidRDefault="00AA25F6" w:rsidP="004A6D2F">
            <w:pPr>
              <w:rPr>
                <w:rStyle w:val="Firstpagetablebold"/>
              </w:rPr>
            </w:pPr>
            <w:r>
              <w:rPr>
                <w:rStyle w:val="Firstpagetablebold"/>
              </w:rPr>
              <w:t>Cabinet</w:t>
            </w:r>
          </w:p>
        </w:tc>
      </w:tr>
      <w:tr w:rsidR="00CE544A" w:rsidRPr="00975B07" w14:paraId="7E2B7A1B" w14:textId="77777777" w:rsidTr="005F7F7E">
        <w:tc>
          <w:tcPr>
            <w:tcW w:w="2438" w:type="dxa"/>
            <w:shd w:val="clear" w:color="auto" w:fill="auto"/>
          </w:tcPr>
          <w:p w14:paraId="15B64DC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D34C86" w14:textId="0589E255" w:rsidR="00F445B1" w:rsidRPr="001356F1" w:rsidRDefault="00016B12" w:rsidP="00731FFA">
            <w:pPr>
              <w:rPr>
                <w:b/>
              </w:rPr>
            </w:pPr>
            <w:r>
              <w:rPr>
                <w:rStyle w:val="Firstpagetablebold"/>
              </w:rPr>
              <w:t>1</w:t>
            </w:r>
            <w:r w:rsidR="00731FFA">
              <w:rPr>
                <w:rStyle w:val="Firstpagetablebold"/>
              </w:rPr>
              <w:t>9</w:t>
            </w:r>
            <w:r>
              <w:rPr>
                <w:rStyle w:val="Firstpagetablebold"/>
              </w:rPr>
              <w:t xml:space="preserve"> December</w:t>
            </w:r>
            <w:r w:rsidR="002A7E9C">
              <w:rPr>
                <w:rStyle w:val="Firstpagetablebold"/>
              </w:rPr>
              <w:t xml:space="preserve"> 2019</w:t>
            </w:r>
          </w:p>
        </w:tc>
      </w:tr>
      <w:tr w:rsidR="00CE544A" w:rsidRPr="00975B07" w14:paraId="66981BA9" w14:textId="77777777" w:rsidTr="005F7F7E">
        <w:tc>
          <w:tcPr>
            <w:tcW w:w="2438" w:type="dxa"/>
            <w:shd w:val="clear" w:color="auto" w:fill="auto"/>
          </w:tcPr>
          <w:p w14:paraId="64F85E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46EA52"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0D9914C8" w14:textId="77777777" w:rsidTr="005F7F7E">
        <w:tc>
          <w:tcPr>
            <w:tcW w:w="2438" w:type="dxa"/>
            <w:shd w:val="clear" w:color="auto" w:fill="auto"/>
          </w:tcPr>
          <w:p w14:paraId="746A145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49BF1D4" w14:textId="77777777" w:rsidR="00F445B1" w:rsidRPr="001356F1" w:rsidRDefault="002A7E9C" w:rsidP="004A6D2F">
            <w:pPr>
              <w:rPr>
                <w:rStyle w:val="Firstpagetablebold"/>
              </w:rPr>
            </w:pPr>
            <w:r w:rsidRPr="002A7E9C">
              <w:rPr>
                <w:rStyle w:val="Firstpagetablebold"/>
              </w:rPr>
              <w:t>Treasury Management Mid-Year Review for April – September 201</w:t>
            </w:r>
            <w:r w:rsidR="00C118A4">
              <w:rPr>
                <w:rStyle w:val="Firstpagetablebold"/>
              </w:rPr>
              <w:t>9</w:t>
            </w:r>
          </w:p>
        </w:tc>
      </w:tr>
    </w:tbl>
    <w:p w14:paraId="44BEEA1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1EB06D" w14:textId="77777777" w:rsidTr="0080749A">
        <w:tc>
          <w:tcPr>
            <w:tcW w:w="8845" w:type="dxa"/>
            <w:gridSpan w:val="2"/>
            <w:tcBorders>
              <w:bottom w:val="single" w:sz="8" w:space="0" w:color="000000"/>
            </w:tcBorders>
            <w:hideMark/>
          </w:tcPr>
          <w:p w14:paraId="6B26447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B3A1110" w14:textId="77777777" w:rsidTr="0080749A">
        <w:tc>
          <w:tcPr>
            <w:tcW w:w="2438" w:type="dxa"/>
            <w:tcBorders>
              <w:top w:val="single" w:sz="8" w:space="0" w:color="000000"/>
              <w:left w:val="single" w:sz="8" w:space="0" w:color="000000"/>
              <w:bottom w:val="nil"/>
              <w:right w:val="nil"/>
            </w:tcBorders>
            <w:hideMark/>
          </w:tcPr>
          <w:p w14:paraId="52631BD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2FE391" w14:textId="77777777" w:rsidR="00D5547E" w:rsidRPr="001356F1" w:rsidRDefault="002A7E9C" w:rsidP="00B52CE1">
            <w:r w:rsidRPr="002A7E9C">
              <w:t>To report on the performance of the Treasury Management function for the 6 months to 30</w:t>
            </w:r>
            <w:r w:rsidRPr="00B52CE1">
              <w:rPr>
                <w:vertAlign w:val="superscript"/>
              </w:rPr>
              <w:t>th</w:t>
            </w:r>
            <w:r w:rsidR="00B52CE1">
              <w:t xml:space="preserve"> </w:t>
            </w:r>
            <w:r w:rsidRPr="002A7E9C">
              <w:t>September 201</w:t>
            </w:r>
            <w:r w:rsidR="00C118A4">
              <w:t>9</w:t>
            </w:r>
          </w:p>
        </w:tc>
      </w:tr>
      <w:tr w:rsidR="00D5547E" w14:paraId="2929C442" w14:textId="77777777" w:rsidTr="0080749A">
        <w:tc>
          <w:tcPr>
            <w:tcW w:w="2438" w:type="dxa"/>
            <w:tcBorders>
              <w:top w:val="nil"/>
              <w:left w:val="single" w:sz="8" w:space="0" w:color="000000"/>
              <w:bottom w:val="nil"/>
              <w:right w:val="nil"/>
            </w:tcBorders>
            <w:hideMark/>
          </w:tcPr>
          <w:p w14:paraId="6DAD4F0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CBEA76D" w14:textId="77777777" w:rsidR="00D5547E" w:rsidRPr="002A7E9C" w:rsidRDefault="00D5547E" w:rsidP="005F7F7E">
            <w:pPr>
              <w:rPr>
                <w:color w:val="auto"/>
              </w:rPr>
            </w:pPr>
            <w:r w:rsidRPr="002A7E9C">
              <w:rPr>
                <w:color w:val="auto"/>
              </w:rPr>
              <w:t>No</w:t>
            </w:r>
          </w:p>
        </w:tc>
        <w:bookmarkStart w:id="0" w:name="_GoBack"/>
        <w:bookmarkEnd w:id="0"/>
      </w:tr>
      <w:tr w:rsidR="00D5547E" w14:paraId="50B943C5" w14:textId="77777777" w:rsidTr="0080749A">
        <w:tc>
          <w:tcPr>
            <w:tcW w:w="2438" w:type="dxa"/>
            <w:tcBorders>
              <w:top w:val="nil"/>
              <w:left w:val="single" w:sz="8" w:space="0" w:color="000000"/>
              <w:bottom w:val="nil"/>
              <w:right w:val="nil"/>
            </w:tcBorders>
            <w:hideMark/>
          </w:tcPr>
          <w:p w14:paraId="425AF2A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361B4F2D" w14:textId="77777777" w:rsidR="00D5547E" w:rsidRPr="001356F1" w:rsidRDefault="002A7E9C" w:rsidP="00B52CE1">
            <w:r w:rsidRPr="002A7E9C">
              <w:t>Councillor Ed Turner, (Deputy Leader) Finance, Asset Management and Public Health</w:t>
            </w:r>
          </w:p>
        </w:tc>
      </w:tr>
      <w:tr w:rsidR="0080749A" w14:paraId="1E962F9E" w14:textId="77777777" w:rsidTr="0080749A">
        <w:tc>
          <w:tcPr>
            <w:tcW w:w="2438" w:type="dxa"/>
            <w:tcBorders>
              <w:top w:val="nil"/>
              <w:left w:val="single" w:sz="8" w:space="0" w:color="000000"/>
              <w:bottom w:val="nil"/>
              <w:right w:val="nil"/>
            </w:tcBorders>
          </w:tcPr>
          <w:p w14:paraId="6E69AEE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7681262" w14:textId="77777777" w:rsidR="0080749A" w:rsidRPr="001356F1" w:rsidRDefault="002A7E9C" w:rsidP="002A7E9C">
            <w:r>
              <w:t>None</w:t>
            </w:r>
          </w:p>
        </w:tc>
      </w:tr>
      <w:tr w:rsidR="00D5547E" w14:paraId="5884B10C" w14:textId="77777777" w:rsidTr="0080749A">
        <w:tc>
          <w:tcPr>
            <w:tcW w:w="2438" w:type="dxa"/>
            <w:tcBorders>
              <w:top w:val="nil"/>
              <w:left w:val="single" w:sz="8" w:space="0" w:color="000000"/>
              <w:bottom w:val="nil"/>
              <w:right w:val="nil"/>
            </w:tcBorders>
            <w:hideMark/>
          </w:tcPr>
          <w:p w14:paraId="02AD771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EC47C" w14:textId="77777777" w:rsidR="00D5547E" w:rsidRPr="001356F1" w:rsidRDefault="002A7E9C" w:rsidP="005F7F7E">
            <w:r w:rsidRPr="002A7E9C">
              <w:t>Efficient and effective Council</w:t>
            </w:r>
          </w:p>
        </w:tc>
      </w:tr>
      <w:tr w:rsidR="005F7F7E" w:rsidRPr="00975B07" w14:paraId="2605ADBD" w14:textId="77777777" w:rsidTr="00A46E98">
        <w:trPr>
          <w:trHeight w:val="413"/>
        </w:trPr>
        <w:tc>
          <w:tcPr>
            <w:tcW w:w="8845" w:type="dxa"/>
            <w:gridSpan w:val="2"/>
            <w:tcBorders>
              <w:bottom w:val="single" w:sz="8" w:space="0" w:color="000000"/>
            </w:tcBorders>
          </w:tcPr>
          <w:p w14:paraId="04508DB1" w14:textId="77777777" w:rsidR="005F7F7E" w:rsidRDefault="00AA25F6" w:rsidP="00AA25F6">
            <w:pPr>
              <w:rPr>
                <w:rStyle w:val="Firstpagetablebold"/>
                <w:b w:val="0"/>
              </w:rPr>
            </w:pPr>
            <w:proofErr w:type="spellStart"/>
            <w:r>
              <w:rPr>
                <w:rStyle w:val="Firstpagetablebold"/>
              </w:rPr>
              <w:t>Recommendation</w:t>
            </w:r>
            <w:r w:rsidR="005F7F7E">
              <w:rPr>
                <w:rStyle w:val="Firstpagetablebold"/>
              </w:rPr>
              <w:t>s:</w:t>
            </w:r>
            <w:r>
              <w:rPr>
                <w:rStyle w:val="Firstpagetablebold"/>
                <w:b w:val="0"/>
              </w:rPr>
              <w:t>That</w:t>
            </w:r>
            <w:proofErr w:type="spellEnd"/>
            <w:r>
              <w:rPr>
                <w:rStyle w:val="Firstpagetablebold"/>
                <w:b w:val="0"/>
              </w:rPr>
              <w:t xml:space="preserve"> </w:t>
            </w:r>
            <w:r w:rsidRPr="00AA25F6">
              <w:rPr>
                <w:rStyle w:val="Firstpagetablebold"/>
                <w:b w:val="0"/>
              </w:rPr>
              <w:t xml:space="preserve">Cabinet </w:t>
            </w:r>
            <w:r w:rsidR="005F7F7E" w:rsidRPr="00AA25F6">
              <w:rPr>
                <w:rStyle w:val="Firstpagetablebold"/>
                <w:b w:val="0"/>
              </w:rPr>
              <w:t>resolves to:</w:t>
            </w:r>
          </w:p>
          <w:p w14:paraId="767BEFE5" w14:textId="77777777" w:rsidR="00E67313" w:rsidRDefault="00E67313" w:rsidP="00E67313">
            <w:pPr>
              <w:pStyle w:val="ListParagraph"/>
              <w:numPr>
                <w:ilvl w:val="0"/>
                <w:numId w:val="49"/>
              </w:numPr>
              <w:tabs>
                <w:tab w:val="clear" w:pos="426"/>
              </w:tabs>
              <w:spacing w:after="0"/>
              <w:contextualSpacing/>
              <w:jc w:val="both"/>
              <w:rPr>
                <w:rStyle w:val="Firstpagetablebold"/>
                <w:rFonts w:eastAsiaTheme="majorEastAsia"/>
                <w:b w:val="0"/>
              </w:rPr>
            </w:pPr>
            <w:r>
              <w:rPr>
                <w:rStyle w:val="Firstpagetablebold"/>
                <w:rFonts w:eastAsiaTheme="majorEastAsia"/>
              </w:rPr>
              <w:t>Note</w:t>
            </w:r>
            <w:r>
              <w:rPr>
                <w:rStyle w:val="Firstpagetablebold"/>
                <w:rFonts w:eastAsiaTheme="majorEastAsia"/>
                <w:b w:val="0"/>
              </w:rPr>
              <w:t xml:space="preserve"> the performance of the Treasury Management function for the six months to 30th September 2019; and </w:t>
            </w:r>
          </w:p>
          <w:p w14:paraId="0BAF0D18" w14:textId="77777777" w:rsidR="00E67313" w:rsidRDefault="00E67313" w:rsidP="00E67313">
            <w:pPr>
              <w:pStyle w:val="ListParagraph"/>
              <w:numPr>
                <w:ilvl w:val="0"/>
                <w:numId w:val="49"/>
              </w:numPr>
              <w:tabs>
                <w:tab w:val="clear" w:pos="426"/>
              </w:tabs>
              <w:spacing w:after="0"/>
              <w:contextualSpacing/>
              <w:jc w:val="both"/>
              <w:rPr>
                <w:rStyle w:val="Firstpagetablebold"/>
                <w:rFonts w:eastAsiaTheme="majorEastAsia"/>
              </w:rPr>
            </w:pPr>
            <w:r w:rsidRPr="00E67313">
              <w:rPr>
                <w:rStyle w:val="Firstpagetablebold"/>
                <w:rFonts w:eastAsiaTheme="majorEastAsia"/>
              </w:rPr>
              <w:t>Recommen</w:t>
            </w:r>
            <w:r>
              <w:rPr>
                <w:rStyle w:val="Firstpagetablebold"/>
                <w:rFonts w:eastAsiaTheme="majorEastAsia"/>
              </w:rPr>
              <w:t xml:space="preserve">d </w:t>
            </w:r>
            <w:r>
              <w:rPr>
                <w:rStyle w:val="Firstpagetablebold"/>
                <w:rFonts w:eastAsiaTheme="majorEastAsia"/>
                <w:b w:val="0"/>
              </w:rPr>
              <w:t xml:space="preserve"> Council to:</w:t>
            </w:r>
          </w:p>
          <w:p w14:paraId="55961095" w14:textId="4BB00479" w:rsidR="00E67313" w:rsidRDefault="00E67313" w:rsidP="00E67313">
            <w:pPr>
              <w:pStyle w:val="ListParagraph"/>
              <w:numPr>
                <w:ilvl w:val="0"/>
                <w:numId w:val="50"/>
              </w:numPr>
              <w:tabs>
                <w:tab w:val="clear" w:pos="426"/>
              </w:tabs>
              <w:spacing w:after="0"/>
              <w:contextualSpacing/>
              <w:jc w:val="both"/>
              <w:rPr>
                <w:rStyle w:val="Firstpagetablebold"/>
                <w:rFonts w:eastAsiaTheme="majorEastAsia"/>
                <w:b w:val="0"/>
              </w:rPr>
            </w:pPr>
            <w:r>
              <w:rPr>
                <w:rStyle w:val="Firstpagetablebold"/>
                <w:rFonts w:eastAsiaTheme="majorEastAsia"/>
              </w:rPr>
              <w:t>Approve</w:t>
            </w:r>
            <w:r>
              <w:rPr>
                <w:rStyle w:val="Firstpagetablebold"/>
                <w:rFonts w:eastAsiaTheme="majorEastAsia"/>
                <w:b w:val="0"/>
              </w:rPr>
              <w:t xml:space="preserve"> the change of the Indirect Property Funds counterparty category to Pooled Investment Funds; and</w:t>
            </w:r>
          </w:p>
          <w:p w14:paraId="75890EB2" w14:textId="68D1205E" w:rsidR="00E67313" w:rsidRPr="00975B07" w:rsidRDefault="00E67313" w:rsidP="002F24ED">
            <w:pPr>
              <w:pStyle w:val="ListParagraph"/>
              <w:numPr>
                <w:ilvl w:val="0"/>
                <w:numId w:val="50"/>
              </w:numPr>
              <w:tabs>
                <w:tab w:val="clear" w:pos="426"/>
              </w:tabs>
              <w:spacing w:after="0"/>
              <w:contextualSpacing/>
              <w:jc w:val="both"/>
            </w:pPr>
            <w:r w:rsidRPr="002F24ED">
              <w:rPr>
                <w:rStyle w:val="Firstpagetablebold"/>
                <w:rFonts w:eastAsiaTheme="majorEastAsia"/>
              </w:rPr>
              <w:t xml:space="preserve">Note </w:t>
            </w:r>
            <w:r w:rsidRPr="002F24ED">
              <w:rPr>
                <w:rStyle w:val="Firstpagetablebold"/>
                <w:rFonts w:eastAsiaTheme="majorEastAsia"/>
                <w:b w:val="0"/>
              </w:rPr>
              <w:t>that the Council is considering investing in a Multi Asset fund instead of an Indirect Property Fund as was previously anticipated.</w:t>
            </w:r>
          </w:p>
        </w:tc>
      </w:tr>
    </w:tbl>
    <w:p w14:paraId="2ACB1A6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93EA8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C14C2B" w14:textId="77777777" w:rsidR="00966D42" w:rsidRPr="00975B07" w:rsidRDefault="00966D42" w:rsidP="00263EA3">
            <w:pPr>
              <w:jc w:val="center"/>
            </w:pPr>
            <w:r w:rsidRPr="00745BF0">
              <w:rPr>
                <w:rStyle w:val="Firstpagetablebold"/>
              </w:rPr>
              <w:t>Appendices</w:t>
            </w:r>
          </w:p>
        </w:tc>
      </w:tr>
      <w:tr w:rsidR="00ED5860" w:rsidRPr="00975B07" w14:paraId="215FC95F" w14:textId="77777777" w:rsidTr="00A46E98">
        <w:tc>
          <w:tcPr>
            <w:tcW w:w="2438" w:type="dxa"/>
            <w:tcBorders>
              <w:top w:val="single" w:sz="8" w:space="0" w:color="000000"/>
              <w:left w:val="single" w:sz="8" w:space="0" w:color="000000"/>
              <w:bottom w:val="nil"/>
              <w:right w:val="nil"/>
            </w:tcBorders>
            <w:shd w:val="clear" w:color="auto" w:fill="auto"/>
          </w:tcPr>
          <w:p w14:paraId="7B99463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285C0A" w14:textId="77777777" w:rsidR="00ED5860" w:rsidRPr="001356F1" w:rsidRDefault="002A7E9C" w:rsidP="002A7E9C">
            <w:r w:rsidRPr="002A7E9C">
              <w:t>List of investments as at 30</w:t>
            </w:r>
            <w:r w:rsidRPr="002A7E9C">
              <w:rPr>
                <w:vertAlign w:val="superscript"/>
              </w:rPr>
              <w:t>th</w:t>
            </w:r>
            <w:r>
              <w:t xml:space="preserve"> </w:t>
            </w:r>
            <w:r w:rsidRPr="002A7E9C">
              <w:t>September 201</w:t>
            </w:r>
            <w:r w:rsidR="00861414">
              <w:t>9</w:t>
            </w:r>
          </w:p>
        </w:tc>
      </w:tr>
      <w:tr w:rsidR="00ED5860" w:rsidRPr="00975B07" w14:paraId="698DE994" w14:textId="77777777" w:rsidTr="002F24ED">
        <w:tc>
          <w:tcPr>
            <w:tcW w:w="2438" w:type="dxa"/>
            <w:tcBorders>
              <w:top w:val="nil"/>
              <w:left w:val="single" w:sz="8" w:space="0" w:color="000000"/>
              <w:bottom w:val="single" w:sz="4" w:space="0" w:color="auto"/>
              <w:right w:val="nil"/>
            </w:tcBorders>
            <w:shd w:val="clear" w:color="auto" w:fill="auto"/>
          </w:tcPr>
          <w:p w14:paraId="72BCFDE7" w14:textId="77777777"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14:paraId="57657031" w14:textId="77777777" w:rsidR="00ED5860" w:rsidRPr="001356F1" w:rsidRDefault="002A7E9C" w:rsidP="004A6D2F">
            <w:r w:rsidRPr="002A7E9C">
              <w:t>Risk Register</w:t>
            </w:r>
          </w:p>
        </w:tc>
      </w:tr>
    </w:tbl>
    <w:p w14:paraId="080BAEB5"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4339FDEA" w14:textId="77777777"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22CEE1A3" w14:textId="77777777"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861414">
        <w:rPr>
          <w:lang w:val="en-AU"/>
        </w:rPr>
        <w:t>19</w:t>
      </w:r>
      <w:r w:rsidRPr="002A7E9C">
        <w:rPr>
          <w:lang w:val="en-AU"/>
        </w:rPr>
        <w:t>/</w:t>
      </w:r>
      <w:r w:rsidR="00861414">
        <w:rPr>
          <w:lang w:val="en-AU"/>
        </w:rPr>
        <w:t>20</w:t>
      </w:r>
      <w:r w:rsidRPr="002A7E9C">
        <w:rPr>
          <w:lang w:val="en-AU"/>
        </w:rPr>
        <w:t xml:space="preserve"> financial year</w:t>
      </w:r>
    </w:p>
    <w:p w14:paraId="75B2E5B4" w14:textId="77777777" w:rsidR="002A7E9C" w:rsidRPr="002A7E9C" w:rsidRDefault="002A7E9C" w:rsidP="002A7E9C">
      <w:pPr>
        <w:pStyle w:val="ListParagraph"/>
        <w:numPr>
          <w:ilvl w:val="0"/>
          <w:numId w:val="36"/>
        </w:numPr>
        <w:rPr>
          <w:lang w:val="en-AU"/>
        </w:rPr>
      </w:pPr>
      <w:r w:rsidRPr="002A7E9C">
        <w:rPr>
          <w:lang w:val="en-AU"/>
        </w:rPr>
        <w:t>A review of the Council’s investment portfolio for 201</w:t>
      </w:r>
      <w:r w:rsidR="00861414">
        <w:rPr>
          <w:lang w:val="en-AU"/>
        </w:rPr>
        <w:t>9</w:t>
      </w:r>
      <w:r w:rsidRPr="002A7E9C">
        <w:rPr>
          <w:lang w:val="en-AU"/>
        </w:rPr>
        <w:t>/</w:t>
      </w:r>
      <w:r w:rsidR="00861414">
        <w:rPr>
          <w:lang w:val="en-AU"/>
        </w:rPr>
        <w:t>20</w:t>
      </w:r>
    </w:p>
    <w:p w14:paraId="6B233322" w14:textId="77777777" w:rsidR="002A7E9C" w:rsidRPr="002A7E9C" w:rsidRDefault="002A7E9C" w:rsidP="002A7E9C">
      <w:pPr>
        <w:pStyle w:val="ListParagraph"/>
        <w:numPr>
          <w:ilvl w:val="0"/>
          <w:numId w:val="36"/>
        </w:numPr>
        <w:rPr>
          <w:lang w:val="en-AU"/>
        </w:rPr>
      </w:pPr>
      <w:r w:rsidRPr="002A7E9C">
        <w:rPr>
          <w:lang w:val="en-AU"/>
        </w:rPr>
        <w:lastRenderedPageBreak/>
        <w:t>A review of the Council’s borrowing strategy for 201</w:t>
      </w:r>
      <w:r w:rsidR="00861414">
        <w:rPr>
          <w:lang w:val="en-AU"/>
        </w:rPr>
        <w:t>9</w:t>
      </w:r>
      <w:r w:rsidRPr="002A7E9C">
        <w:rPr>
          <w:lang w:val="en-AU"/>
        </w:rPr>
        <w:t>/</w:t>
      </w:r>
      <w:r w:rsidR="00861414">
        <w:rPr>
          <w:lang w:val="en-AU"/>
        </w:rPr>
        <w:t>20</w:t>
      </w:r>
    </w:p>
    <w:p w14:paraId="406D8C39" w14:textId="77777777" w:rsidR="002A7E9C" w:rsidRPr="00B52CE1" w:rsidRDefault="002A7E9C" w:rsidP="002A7E9C">
      <w:pPr>
        <w:pStyle w:val="ListParagraph"/>
        <w:numPr>
          <w:ilvl w:val="0"/>
          <w:numId w:val="36"/>
        </w:numPr>
        <w:rPr>
          <w:lang w:val="en-AU"/>
        </w:rPr>
      </w:pPr>
      <w:r w:rsidRPr="00B52CE1">
        <w:rPr>
          <w:lang w:val="en-AU"/>
        </w:rPr>
        <w:t xml:space="preserve">A </w:t>
      </w:r>
      <w:r w:rsidR="00B52CE1" w:rsidRPr="00B52CE1">
        <w:rPr>
          <w:lang w:val="en-AU"/>
        </w:rPr>
        <w:t>statement</w:t>
      </w:r>
      <w:r w:rsidRPr="00B52CE1">
        <w:rPr>
          <w:lang w:val="en-AU"/>
        </w:rPr>
        <w:t xml:space="preserve"> of compliance with Treasury and Prudential Limits for 201</w:t>
      </w:r>
      <w:r w:rsidR="00861414">
        <w:rPr>
          <w:lang w:val="en-AU"/>
        </w:rPr>
        <w:t>9</w:t>
      </w:r>
      <w:r w:rsidRPr="00B52CE1">
        <w:rPr>
          <w:lang w:val="en-AU"/>
        </w:rPr>
        <w:t>/</w:t>
      </w:r>
      <w:r w:rsidR="00861414">
        <w:rPr>
          <w:lang w:val="en-AU"/>
        </w:rPr>
        <w:t>20</w:t>
      </w:r>
    </w:p>
    <w:p w14:paraId="45A93DB3" w14:textId="77777777" w:rsidR="002A7E9C" w:rsidRPr="002A7E9C" w:rsidRDefault="002A7E9C" w:rsidP="002A7E9C">
      <w:pPr>
        <w:pStyle w:val="ListParagraph"/>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08B0D173" w14:textId="77777777" w:rsidR="00861414" w:rsidRDefault="002A7E9C" w:rsidP="00861414">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025FDEF4" w14:textId="77777777" w:rsidR="00344001" w:rsidRPr="00344001" w:rsidRDefault="00344001" w:rsidP="00344001">
      <w:pPr>
        <w:pStyle w:val="ListParagraph"/>
        <w:numPr>
          <w:ilvl w:val="0"/>
          <w:numId w:val="0"/>
        </w:numPr>
        <w:rPr>
          <w:b/>
        </w:rPr>
      </w:pPr>
      <w:r w:rsidRPr="00344001">
        <w:rPr>
          <w:b/>
        </w:rPr>
        <w:t>Economic Overview</w:t>
      </w:r>
    </w:p>
    <w:p w14:paraId="32F8F6A1" w14:textId="57E6F515" w:rsidR="00344001" w:rsidRPr="001A4E08" w:rsidRDefault="00452AA4" w:rsidP="003F5940">
      <w:pPr>
        <w:pStyle w:val="ListParagraph"/>
        <w:numPr>
          <w:ilvl w:val="0"/>
          <w:numId w:val="0"/>
        </w:numPr>
        <w:ind w:left="426"/>
      </w:pPr>
      <w:r>
        <w:t xml:space="preserve">The over-riding theme for the year so far has been uncertainty and turbulence, mainly down to Brexit which is now expected to happen with some form of deal on the table. The BOE base rate has remained at 0.75% throughout the year, Global economies appear to be slowing and the likelihood of any interest rate rise this year has all but gone with a rate cut now looking more likely in order to support growth. </w:t>
      </w:r>
      <w:r w:rsidRPr="002F24ED">
        <w:rPr>
          <w:bCs/>
        </w:rPr>
        <w:t xml:space="preserve">Any interest rate forecasts are subject to material change as the Brexit situation evolves. With so much uncertainty the commercial property market could also be at risk with companies and retailers suffering under the current market conditions.  </w:t>
      </w:r>
    </w:p>
    <w:p w14:paraId="141A5CFA" w14:textId="77777777" w:rsidR="001A4E08" w:rsidRPr="00D75E82" w:rsidRDefault="001A4E08" w:rsidP="00861414">
      <w:pPr>
        <w:pStyle w:val="ListParagraph"/>
      </w:pPr>
      <w:r w:rsidRPr="001A4E08">
        <w:rPr>
          <w:bCs/>
        </w:rPr>
        <w:t xml:space="preserve">The first half of 2019/20 has seen UK economic growth fall due to the level of uncertainty. In its Inflation Report of 1 August, the Bank of England was notably downbeat about the outlook for both the UK and major world economies. The MPC meeting of 19 September reemphasised their concern about the downturn in world growth and also expressed concern that prolonged uncertainty would contribute to a build-up of spare capacity in the UK economy, especially in the context of a downturn in world growth.  This mirrors investor concerns around the world about a significant downturn or possibly even a recession in some major developed economies. It was therefore no surprise that the MPC left </w:t>
      </w:r>
      <w:r w:rsidR="00533B07">
        <w:rPr>
          <w:bCs/>
        </w:rPr>
        <w:t xml:space="preserve">the </w:t>
      </w:r>
      <w:r w:rsidRPr="001A4E08">
        <w:rPr>
          <w:bCs/>
        </w:rPr>
        <w:t>Bank Rate unchanged at 0.75% throughout 2019 so far and they are expected to hold off on changes until there is some clarity on what is going to happen over the EU exit.</w:t>
      </w:r>
      <w:r w:rsidRPr="001A4E08">
        <w:rPr>
          <w:b/>
          <w:i/>
        </w:rPr>
        <w:t xml:space="preserve"> </w:t>
      </w:r>
      <w:r w:rsidRPr="001A4E08">
        <w:rPr>
          <w:bCs/>
        </w:rPr>
        <w:t>The new Prime Minister is making some significant promises on various spending commitments and a relaxation in the austerity programme. This will provide some support to the economy and take some pressure off the MPC to cut Bank Rate to support growth.</w:t>
      </w:r>
    </w:p>
    <w:p w14:paraId="526DAF2C" w14:textId="77777777" w:rsidR="00D75E82" w:rsidRPr="00CA349E" w:rsidRDefault="00D75E82" w:rsidP="00861414">
      <w:pPr>
        <w:pStyle w:val="ListParagraph"/>
      </w:pPr>
      <w:r w:rsidRPr="00D75E82">
        <w:rPr>
          <w:bCs/>
        </w:rPr>
        <w:t>The CPI measure of inflation has been hovering around the Bank of England’s target of 2% during 2019, but fell to 1.7% in August. It is expected to remain close to 2% over the next two years and so it does not pose any immediate concern to the MPC at the current time unless there is a no deal exit where inflation could rise towards 4%, primarily as a result of imported inflation on the back of a weakening pound.</w:t>
      </w:r>
    </w:p>
    <w:p w14:paraId="54E60858" w14:textId="77777777" w:rsidR="00CA349E" w:rsidRDefault="00CA349E" w:rsidP="00CA349E">
      <w:r w:rsidRPr="00E8024D">
        <w:rPr>
          <w:b/>
        </w:rPr>
        <w:t>Interest and Interest Rate Forecasts</w:t>
      </w:r>
    </w:p>
    <w:p w14:paraId="17DAFE40" w14:textId="77777777" w:rsidR="00CA349E" w:rsidRDefault="00CA349E" w:rsidP="00861414">
      <w:pPr>
        <w:pStyle w:val="ListParagraph"/>
      </w:pPr>
      <w:r w:rsidRPr="00CA349E">
        <w:rPr>
          <w:lang w:val="en-AU"/>
        </w:rPr>
        <w:lastRenderedPageBreak/>
        <w:t>The Council’s treasury advisor, Link Asset Services, has provided the following forecast.  This forecast includes the increase in margin over gilt yields of 100bps introduced on 9</w:t>
      </w:r>
      <w:r w:rsidRPr="00CA349E">
        <w:rPr>
          <w:vertAlign w:val="superscript"/>
          <w:lang w:val="en-AU"/>
        </w:rPr>
        <w:t>th</w:t>
      </w:r>
      <w:r w:rsidRPr="00CA349E">
        <w:rPr>
          <w:lang w:val="en-AU"/>
        </w:rPr>
        <w:t xml:space="preserve"> October 2019.</w:t>
      </w:r>
    </w:p>
    <w:p w14:paraId="47588E67" w14:textId="77777777" w:rsidR="000F47D2" w:rsidRDefault="00CA349E" w:rsidP="00344001">
      <w:r w:rsidRPr="00043FDF">
        <w:rPr>
          <w:noProof/>
        </w:rPr>
        <w:drawing>
          <wp:inline distT="0" distB="0" distL="0" distR="0" wp14:anchorId="28B2C4B6" wp14:editId="05CA70C7">
            <wp:extent cx="5904230" cy="1835150"/>
            <wp:effectExtent l="0" t="0" r="1270" b="0"/>
            <wp:docPr id="12" name="Picture 12" title="Link Asset Services Interest Rat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1835150"/>
                    </a:xfrm>
                    <a:prstGeom prst="rect">
                      <a:avLst/>
                    </a:prstGeom>
                    <a:noFill/>
                    <a:ln>
                      <a:noFill/>
                    </a:ln>
                  </pic:spPr>
                </pic:pic>
              </a:graphicData>
            </a:graphic>
          </wp:inline>
        </w:drawing>
      </w:r>
    </w:p>
    <w:p w14:paraId="2B5BE541" w14:textId="77777777" w:rsidR="003F0B79" w:rsidRDefault="003F0B79" w:rsidP="00281815"/>
    <w:p w14:paraId="7F76AE4C" w14:textId="77777777" w:rsidR="00E91DD0" w:rsidRDefault="00E91DD0" w:rsidP="00E91DD0">
      <w:pPr>
        <w:pStyle w:val="ListParagraph"/>
      </w:pPr>
      <w:r>
        <w:t xml:space="preserve">The forecasts </w:t>
      </w:r>
      <w:r w:rsidR="00AF080E">
        <w:t>in the above table are</w:t>
      </w:r>
      <w:r>
        <w:t xml:space="preserve"> based on an assumption that there is an agreed </w:t>
      </w:r>
      <w:r w:rsidR="00F32786">
        <w:t xml:space="preserve">EU Exit </w:t>
      </w:r>
      <w:r>
        <w:t xml:space="preserve">deal at some point in time. Given the current level of uncertainties, this is a </w:t>
      </w:r>
      <w:r w:rsidR="00AF080E">
        <w:t xml:space="preserve">significant </w:t>
      </w:r>
      <w:r>
        <w:t xml:space="preserve">assumption and so forecasts may need to be materially reassessed in the light of </w:t>
      </w:r>
      <w:r w:rsidR="00F32786">
        <w:t xml:space="preserve">future </w:t>
      </w:r>
      <w:r>
        <w:t xml:space="preserve">events. </w:t>
      </w:r>
    </w:p>
    <w:p w14:paraId="0709A8F3" w14:textId="77777777" w:rsidR="00934B61" w:rsidRPr="00BB1B95" w:rsidRDefault="00934B61" w:rsidP="00E91DD0">
      <w:pPr>
        <w:pStyle w:val="ListParagraph"/>
        <w:rPr>
          <w:bCs/>
        </w:rPr>
      </w:pPr>
      <w:r w:rsidRPr="004050C2">
        <w:rPr>
          <w:color w:val="0D0D0D"/>
        </w:rPr>
        <w:t>It has been little surprise that the Monetary Policy Committee (MPC) has left Bank Rate unchanged at 0.75% so far in 2019 due to the ongoing uncertainty over Brexit. Brexit uncertainty has had a dampening effect on UK GDP growth in 2019, especially around mid-year. If there were a no deal Brexit, then it is likely that there will be a cut or cuts in Bank Rate to help support economic growth. The September MPC meeting sounded even more concern about world growth and the effect that prolonged Brexit uncertainty is likely to have on growth.</w:t>
      </w:r>
      <w:r>
        <w:rPr>
          <w:color w:val="0D0D0D"/>
        </w:rPr>
        <w:t xml:space="preserve"> More recently on 7</w:t>
      </w:r>
      <w:r w:rsidRPr="009F3055">
        <w:rPr>
          <w:color w:val="0D0D0D"/>
          <w:vertAlign w:val="superscript"/>
        </w:rPr>
        <w:t>th</w:t>
      </w:r>
      <w:r>
        <w:rPr>
          <w:color w:val="0D0D0D"/>
        </w:rPr>
        <w:t xml:space="preserve"> November the MPC agreed to hold th</w:t>
      </w:r>
      <w:r w:rsidR="00D965E6">
        <w:rPr>
          <w:color w:val="0D0D0D"/>
        </w:rPr>
        <w:t>e base rate on a vote of 7 to 2.</w:t>
      </w:r>
    </w:p>
    <w:p w14:paraId="18A33830" w14:textId="77777777" w:rsidR="00D965E6" w:rsidRPr="00BB1B95" w:rsidRDefault="00D965E6" w:rsidP="00BB1B95">
      <w:pPr>
        <w:rPr>
          <w:bCs/>
        </w:rPr>
      </w:pPr>
    </w:p>
    <w:p w14:paraId="48AF4EF9" w14:textId="17D86D09" w:rsidR="00934B61" w:rsidRPr="008163F0" w:rsidRDefault="00934B61" w:rsidP="00934B61">
      <w:pPr>
        <w:pStyle w:val="ListParagraph"/>
        <w:rPr>
          <w:color w:val="464B51"/>
        </w:rPr>
      </w:pPr>
      <w:r w:rsidRPr="00BB1B95">
        <w:rPr>
          <w:color w:val="0D0D0D"/>
        </w:rPr>
        <w:t>On 9 October 2019 HM Treasury announced that with immediate effect it was increasing its PWLB borrowing rates. In a statement it reported that “Some local authorities have substantially increased their use of the PWLB in recent months, as the cost of borrowing has fallen to record lows. HM Treasury is therefore restoring interest rates to levels available in 2018, by increasing the margin that applies to new loans from the PWLB by 100bps (one percentage point) on top of usual lending terms.”.  The LGA estimate that this increase could costs councils an extra £70 million a year for borrowing to be undertaken in the next year and present a real risk that capital schemes, including vital council house building projects, will cease to be affordable and may have to be cancelled as a result. The impact on the Council is varied</w:t>
      </w:r>
      <w:r w:rsidR="00DD58A7">
        <w:rPr>
          <w:color w:val="0D0D0D"/>
        </w:rPr>
        <w:t>.</w:t>
      </w:r>
      <w:r w:rsidR="00FE40F8">
        <w:rPr>
          <w:color w:val="0D0D0D"/>
        </w:rPr>
        <w:t xml:space="preserve"> </w:t>
      </w:r>
      <w:r w:rsidR="00DD58A7">
        <w:rPr>
          <w:color w:val="0D0D0D"/>
        </w:rPr>
        <w:t>T</w:t>
      </w:r>
      <w:r w:rsidR="00FE40F8">
        <w:rPr>
          <w:color w:val="0D0D0D"/>
        </w:rPr>
        <w:t xml:space="preserve">he most </w:t>
      </w:r>
      <w:r w:rsidR="00DD58A7">
        <w:rPr>
          <w:color w:val="0D0D0D"/>
        </w:rPr>
        <w:t xml:space="preserve">significant </w:t>
      </w:r>
      <w:r w:rsidR="00FE40F8">
        <w:rPr>
          <w:color w:val="0D0D0D"/>
        </w:rPr>
        <w:t>impact will be on its wholly owned Company Oxford City Housing Ltd.</w:t>
      </w:r>
    </w:p>
    <w:p w14:paraId="08756F84" w14:textId="77777777" w:rsidR="00E91DD0" w:rsidRDefault="00E91DD0" w:rsidP="00BB1B95">
      <w:pPr>
        <w:pStyle w:val="ListParagraph"/>
        <w:numPr>
          <w:ilvl w:val="0"/>
          <w:numId w:val="0"/>
        </w:numPr>
        <w:ind w:left="426"/>
        <w:rPr>
          <w:bCs/>
        </w:rPr>
      </w:pPr>
    </w:p>
    <w:p w14:paraId="1C43D241" w14:textId="77777777" w:rsidR="00473FE9" w:rsidRDefault="00473FE9" w:rsidP="00473FE9">
      <w:pPr>
        <w:pStyle w:val="ListParagraph"/>
        <w:numPr>
          <w:ilvl w:val="0"/>
          <w:numId w:val="0"/>
        </w:numPr>
        <w:ind w:left="426"/>
        <w:rPr>
          <w:bCs/>
        </w:rPr>
      </w:pPr>
    </w:p>
    <w:p w14:paraId="70E5BD09" w14:textId="77777777" w:rsidR="00473FE9" w:rsidRPr="001356F1" w:rsidRDefault="00473FE9" w:rsidP="00473FE9">
      <w:pPr>
        <w:pStyle w:val="Heading1"/>
      </w:pPr>
      <w:r w:rsidRPr="003F5940">
        <w:t>Investment Portfolio and Performance</w:t>
      </w:r>
    </w:p>
    <w:p w14:paraId="3891EFAA" w14:textId="672F3637" w:rsidR="000F1A5B" w:rsidRDefault="000F1A5B" w:rsidP="000F1A5B">
      <w:pPr>
        <w:pStyle w:val="ListParagraph"/>
        <w:rPr>
          <w:bCs/>
        </w:rPr>
      </w:pPr>
      <w:r w:rsidRPr="000F1A5B">
        <w:rPr>
          <w:bCs/>
        </w:rPr>
        <w:t>The budgeted investment income for 20</w:t>
      </w:r>
      <w:r w:rsidR="00E01112">
        <w:rPr>
          <w:bCs/>
        </w:rPr>
        <w:t>19</w:t>
      </w:r>
      <w:r w:rsidRPr="000F1A5B">
        <w:rPr>
          <w:bCs/>
        </w:rPr>
        <w:t>/</w:t>
      </w:r>
      <w:r w:rsidR="00E01112">
        <w:rPr>
          <w:bCs/>
        </w:rPr>
        <w:t>20</w:t>
      </w:r>
      <w:r w:rsidRPr="000F1A5B">
        <w:rPr>
          <w:bCs/>
        </w:rPr>
        <w:t xml:space="preserve"> is £</w:t>
      </w:r>
      <w:r w:rsidR="0061279E">
        <w:rPr>
          <w:bCs/>
        </w:rPr>
        <w:t>0.979</w:t>
      </w:r>
      <w:r w:rsidRPr="000F1A5B">
        <w:rPr>
          <w:bCs/>
        </w:rPr>
        <w:t xml:space="preserve"> million. As at the 30th September 201</w:t>
      </w:r>
      <w:r w:rsidR="006D0B1F">
        <w:rPr>
          <w:bCs/>
        </w:rPr>
        <w:t>9</w:t>
      </w:r>
      <w:r w:rsidRPr="000F1A5B">
        <w:rPr>
          <w:bCs/>
        </w:rPr>
        <w:t>, forecast investment income for 20</w:t>
      </w:r>
      <w:r w:rsidR="006D0B1F">
        <w:rPr>
          <w:bCs/>
        </w:rPr>
        <w:t>19</w:t>
      </w:r>
      <w:r w:rsidRPr="000F1A5B">
        <w:rPr>
          <w:bCs/>
        </w:rPr>
        <w:t>/</w:t>
      </w:r>
      <w:r w:rsidR="006D0B1F">
        <w:rPr>
          <w:bCs/>
        </w:rPr>
        <w:t>20</w:t>
      </w:r>
      <w:r w:rsidRPr="000F1A5B">
        <w:rPr>
          <w:bCs/>
        </w:rPr>
        <w:t xml:space="preserve"> is £</w:t>
      </w:r>
      <w:r w:rsidR="0061279E">
        <w:rPr>
          <w:bCs/>
        </w:rPr>
        <w:t>1.474</w:t>
      </w:r>
      <w:r w:rsidRPr="000F1A5B">
        <w:rPr>
          <w:bCs/>
        </w:rPr>
        <w:t xml:space="preserve">m.  </w:t>
      </w:r>
      <w:r w:rsidR="00B92DC9">
        <w:rPr>
          <w:bCs/>
        </w:rPr>
        <w:t xml:space="preserve">There are a number of reasons for the variation but the primary impact is </w:t>
      </w:r>
      <w:r w:rsidR="00CA76EF">
        <w:rPr>
          <w:bCs/>
        </w:rPr>
        <w:t xml:space="preserve">the </w:t>
      </w:r>
      <w:r w:rsidR="00B92DC9">
        <w:rPr>
          <w:bCs/>
        </w:rPr>
        <w:t xml:space="preserve">reduced </w:t>
      </w:r>
      <w:r w:rsidR="00CA76EF">
        <w:rPr>
          <w:bCs/>
        </w:rPr>
        <w:t xml:space="preserve">loans </w:t>
      </w:r>
      <w:r w:rsidR="00CA76EF">
        <w:rPr>
          <w:bCs/>
        </w:rPr>
        <w:lastRenderedPageBreak/>
        <w:t xml:space="preserve">made to the Housing Company </w:t>
      </w:r>
      <w:r w:rsidR="00A512AA">
        <w:rPr>
          <w:bCs/>
        </w:rPr>
        <w:t>due to expected slippage in their capital expenditure plans.</w:t>
      </w:r>
      <w:r w:rsidR="00FB6DAE">
        <w:rPr>
          <w:bCs/>
        </w:rPr>
        <w:t xml:space="preserve"> This has resulted in larger investment interest as there are more funds deposited than budgeted.</w:t>
      </w:r>
      <w:r w:rsidR="00452AA4">
        <w:rPr>
          <w:bCs/>
        </w:rPr>
        <w:t xml:space="preserve"> The budgeted non treasury housing company loans for 2019/20 were £35.3m, the actual loans as at 30</w:t>
      </w:r>
      <w:r w:rsidR="00452AA4" w:rsidRPr="003F5940">
        <w:rPr>
          <w:bCs/>
          <w:vertAlign w:val="superscript"/>
        </w:rPr>
        <w:t>th</w:t>
      </w:r>
      <w:r w:rsidR="00452AA4">
        <w:rPr>
          <w:bCs/>
        </w:rPr>
        <w:t xml:space="preserve"> September 2019 were £1.6m and the forecast outturn is £15.9m.</w:t>
      </w:r>
      <w:r w:rsidRPr="000F1A5B">
        <w:rPr>
          <w:bCs/>
        </w:rPr>
        <w:t xml:space="preserve"> </w:t>
      </w:r>
      <w:r w:rsidR="003E12A5">
        <w:rPr>
          <w:bCs/>
        </w:rPr>
        <w:t>The scope of this report only includes treasury investments therefore the interest that would be</w:t>
      </w:r>
      <w:r w:rsidR="00801D6C">
        <w:rPr>
          <w:bCs/>
        </w:rPr>
        <w:t xml:space="preserve"> recei</w:t>
      </w:r>
      <w:r w:rsidR="003E12A5">
        <w:rPr>
          <w:bCs/>
        </w:rPr>
        <w:t>ved from lo</w:t>
      </w:r>
      <w:r w:rsidR="00E17EDD">
        <w:rPr>
          <w:bCs/>
        </w:rPr>
        <w:t xml:space="preserve">ans to companies is not included in this report. </w:t>
      </w:r>
    </w:p>
    <w:p w14:paraId="51A42E17" w14:textId="77777777" w:rsidR="00473FE9" w:rsidRPr="00473FE9" w:rsidRDefault="00473FE9" w:rsidP="00473FE9">
      <w:pPr>
        <w:pStyle w:val="ListParagraph"/>
        <w:rPr>
          <w:bCs/>
        </w:rPr>
      </w:pPr>
      <w:r w:rsidRPr="00473FE9">
        <w:rPr>
          <w:bCs/>
        </w:rPr>
        <w:t>The Treasury Management Strategy for 201</w:t>
      </w:r>
      <w:r w:rsidR="006D0B1F">
        <w:rPr>
          <w:bCs/>
        </w:rPr>
        <w:t>9</w:t>
      </w:r>
      <w:r w:rsidRPr="00473FE9">
        <w:rPr>
          <w:bCs/>
        </w:rPr>
        <w:t>/</w:t>
      </w:r>
      <w:r w:rsidR="006D0B1F">
        <w:rPr>
          <w:bCs/>
        </w:rPr>
        <w:t>20</w:t>
      </w:r>
      <w:r w:rsidRPr="00473FE9">
        <w:rPr>
          <w:bCs/>
        </w:rPr>
        <w:t xml:space="preserve"> was approved by this Council in February 201</w:t>
      </w:r>
      <w:r w:rsidR="006D0B1F">
        <w:rPr>
          <w:bCs/>
        </w:rPr>
        <w:t>9</w:t>
      </w:r>
      <w:r w:rsidRPr="00473FE9">
        <w:rPr>
          <w:bCs/>
        </w:rPr>
        <w:t>; to date the Strategy has been fully adhered to</w:t>
      </w:r>
      <w:r w:rsidR="00CA76EF">
        <w:rPr>
          <w:bCs/>
        </w:rPr>
        <w:t xml:space="preserve">.  There is one </w:t>
      </w:r>
      <w:r w:rsidRPr="00473FE9">
        <w:rPr>
          <w:bCs/>
        </w:rPr>
        <w:t>proposed change</w:t>
      </w:r>
      <w:r w:rsidR="00CA76EF">
        <w:rPr>
          <w:bCs/>
        </w:rPr>
        <w:t xml:space="preserve"> detailed below</w:t>
      </w:r>
      <w:r w:rsidRPr="00473FE9">
        <w:rPr>
          <w:bCs/>
        </w:rPr>
        <w:t xml:space="preserve">. </w:t>
      </w:r>
    </w:p>
    <w:p w14:paraId="22890053" w14:textId="77777777"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7CDE2D11" w14:textId="77777777" w:rsid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r w:rsidR="00D6630A">
        <w:rPr>
          <w:bCs/>
        </w:rPr>
        <w:t xml:space="preserve"> </w:t>
      </w:r>
    </w:p>
    <w:p w14:paraId="7273D8DD" w14:textId="77777777" w:rsidR="00D6630A" w:rsidRPr="00473FE9" w:rsidRDefault="00D6630A" w:rsidP="00473FE9">
      <w:pPr>
        <w:pStyle w:val="ListParagraph"/>
        <w:rPr>
          <w:bCs/>
        </w:rPr>
      </w:pPr>
      <w:r>
        <w:rPr>
          <w:bCs/>
        </w:rPr>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1538181" w14:textId="77777777" w:rsidR="00473FE9" w:rsidRPr="00473FE9" w:rsidRDefault="00473FE9" w:rsidP="00473FE9">
      <w:pPr>
        <w:pStyle w:val="ListParagraph"/>
        <w:rPr>
          <w:bCs/>
        </w:rPr>
      </w:pPr>
      <w:r w:rsidRPr="00473FE9">
        <w:rPr>
          <w:bCs/>
        </w:rPr>
        <w:t>The strategy also adopts an ethical approach to investments, stating that:</w:t>
      </w:r>
    </w:p>
    <w:p w14:paraId="5B9C2F5E"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11D20C8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42368528"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09F36A2" w14:textId="77777777"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14:paraId="36FFBC4B" w14:textId="77777777" w:rsidR="00473FE9" w:rsidRPr="00473FE9" w:rsidRDefault="00473FE9" w:rsidP="00473FE9">
      <w:pPr>
        <w:pStyle w:val="ListParagraph"/>
      </w:pPr>
      <w:r w:rsidRPr="00473FE9">
        <w:t>The Council has been able to take advantage of some</w:t>
      </w:r>
      <w:r w:rsidR="00D57A34">
        <w:t xml:space="preserve"> further</w:t>
      </w:r>
      <w:r w:rsidRPr="00473FE9">
        <w:t xml:space="preserve"> green deposit notice accounts offered by Barclays Bank who are working in association with </w:t>
      </w:r>
      <w:proofErr w:type="spellStart"/>
      <w:r w:rsidRPr="00473FE9">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14:paraId="0BE7621D" w14:textId="77777777" w:rsidR="00473FE9" w:rsidRPr="00473FE9" w:rsidRDefault="00473FE9" w:rsidP="00157606">
      <w:pPr>
        <w:pStyle w:val="ListParagraph"/>
        <w:numPr>
          <w:ilvl w:val="0"/>
          <w:numId w:val="41"/>
        </w:numPr>
      </w:pPr>
      <w:r w:rsidRPr="00473FE9">
        <w:t>Energy efficiency projects and renewable energy</w:t>
      </w:r>
    </w:p>
    <w:p w14:paraId="46ABB658" w14:textId="77777777" w:rsidR="00473FE9" w:rsidRPr="00473FE9" w:rsidRDefault="00473FE9" w:rsidP="00157606">
      <w:pPr>
        <w:pStyle w:val="ListParagraph"/>
        <w:numPr>
          <w:ilvl w:val="0"/>
          <w:numId w:val="41"/>
        </w:numPr>
      </w:pPr>
      <w:r w:rsidRPr="00473FE9">
        <w:t>Sustainable food agriculture and forestry</w:t>
      </w:r>
    </w:p>
    <w:p w14:paraId="447F3692" w14:textId="77777777" w:rsidR="00473FE9" w:rsidRPr="00473FE9" w:rsidRDefault="00473FE9" w:rsidP="00157606">
      <w:pPr>
        <w:pStyle w:val="ListParagraph"/>
        <w:numPr>
          <w:ilvl w:val="0"/>
          <w:numId w:val="41"/>
        </w:numPr>
      </w:pPr>
      <w:r w:rsidRPr="00473FE9">
        <w:t>Waste management</w:t>
      </w:r>
    </w:p>
    <w:p w14:paraId="5F5D4864" w14:textId="77777777" w:rsidR="00473FE9" w:rsidRPr="00473FE9" w:rsidRDefault="00473FE9" w:rsidP="00157606">
      <w:pPr>
        <w:pStyle w:val="ListParagraph"/>
        <w:numPr>
          <w:ilvl w:val="0"/>
          <w:numId w:val="41"/>
        </w:numPr>
      </w:pPr>
      <w:r w:rsidRPr="00473FE9">
        <w:t>Greenhouse gas emission reduction</w:t>
      </w:r>
    </w:p>
    <w:p w14:paraId="18AF1DDD" w14:textId="77777777" w:rsidR="00473FE9" w:rsidRPr="00473FE9" w:rsidRDefault="00473FE9" w:rsidP="00157606">
      <w:pPr>
        <w:pStyle w:val="ListParagraph"/>
        <w:numPr>
          <w:ilvl w:val="0"/>
          <w:numId w:val="41"/>
        </w:numPr>
      </w:pPr>
      <w:r w:rsidRPr="00473FE9">
        <w:t>Sustainable water</w:t>
      </w:r>
    </w:p>
    <w:p w14:paraId="11197297" w14:textId="77777777" w:rsidR="00CA0AD6" w:rsidRPr="00CA0AD6" w:rsidRDefault="00CA0AD6" w:rsidP="00473FE9">
      <w:pPr>
        <w:pStyle w:val="ListParagraph"/>
      </w:pPr>
      <w:r w:rsidRPr="00CA0AD6">
        <w:lastRenderedPageBreak/>
        <w:t>The Council currently has £7.5 million in these accounts.</w:t>
      </w:r>
    </w:p>
    <w:p w14:paraId="184DD364" w14:textId="77777777" w:rsidR="00157606" w:rsidRPr="001356F1" w:rsidRDefault="00157606" w:rsidP="00157606">
      <w:pPr>
        <w:pStyle w:val="Heading1"/>
      </w:pPr>
      <w:r w:rsidRPr="00157606">
        <w:t>Property Funds</w:t>
      </w:r>
    </w:p>
    <w:p w14:paraId="7CB35035" w14:textId="77777777" w:rsidR="00157606" w:rsidRDefault="00157606" w:rsidP="00157606">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p>
    <w:p w14:paraId="0618F9E4" w14:textId="77777777" w:rsidR="00157606" w:rsidRPr="00157606" w:rsidRDefault="00157606" w:rsidP="00157606">
      <w:pPr>
        <w:rPr>
          <w:b/>
        </w:rPr>
      </w:pPr>
      <w:r w:rsidRPr="00157606">
        <w:rPr>
          <w:b/>
        </w:rPr>
        <w:t>CCLA Investment Management Limited</w:t>
      </w:r>
    </w:p>
    <w:p w14:paraId="07376464" w14:textId="77777777"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14:paraId="73130B85" w14:textId="77777777" w:rsidR="00157606" w:rsidRDefault="00157606" w:rsidP="00157606">
      <w:pPr>
        <w:pStyle w:val="ListParagraph"/>
      </w:pPr>
      <w:r>
        <w:t xml:space="preserve">Additionally, the value of the Council’s investment with CCLA has appreciated from </w:t>
      </w:r>
      <w:r w:rsidRPr="00CA0AD6">
        <w:t>£3m to £3.86m as at 30th September 201</w:t>
      </w:r>
      <w:r w:rsidR="004761CB" w:rsidRPr="00CA0AD6">
        <w:t>9</w:t>
      </w:r>
      <w:r w:rsidRPr="00CA0AD6">
        <w:t xml:space="preserve">, equating to growth of </w:t>
      </w:r>
      <w:r w:rsidR="00C54169" w:rsidRPr="00506B9D">
        <w:t>28.7</w:t>
      </w:r>
      <w:r w:rsidRPr="00CA0AD6">
        <w:t>% to</w:t>
      </w:r>
      <w:r>
        <w:t xml:space="preserve"> date. However, the values of the individual unit prices have fluctuated over time and the effect of capital appreciation (and depreciation) is illustrated in the graph below.</w:t>
      </w:r>
    </w:p>
    <w:p w14:paraId="3CADDA30" w14:textId="77777777" w:rsidR="00C54169" w:rsidRDefault="00C54169" w:rsidP="00157606">
      <w:pPr>
        <w:pStyle w:val="ListParagraph"/>
        <w:numPr>
          <w:ilvl w:val="0"/>
          <w:numId w:val="0"/>
        </w:numPr>
        <w:ind w:left="426"/>
      </w:pPr>
      <w:r>
        <w:rPr>
          <w:noProof/>
        </w:rPr>
        <w:drawing>
          <wp:inline distT="0" distB="0" distL="0" distR="0" wp14:anchorId="13C8A538" wp14:editId="32A1FCCE">
            <wp:extent cx="6026150" cy="3937112"/>
            <wp:effectExtent l="0" t="0" r="0" b="6350"/>
            <wp:docPr id="14" name="Picture 14" title="CCLA Proper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791" cy="3942104"/>
                    </a:xfrm>
                    <a:prstGeom prst="rect">
                      <a:avLst/>
                    </a:prstGeom>
                    <a:noFill/>
                  </pic:spPr>
                </pic:pic>
              </a:graphicData>
            </a:graphic>
          </wp:inline>
        </w:drawing>
      </w:r>
    </w:p>
    <w:p w14:paraId="74983A6D" w14:textId="77777777" w:rsidR="00157606" w:rsidRDefault="00157606" w:rsidP="00157606">
      <w:pPr>
        <w:pStyle w:val="ListParagraph"/>
        <w:numPr>
          <w:ilvl w:val="0"/>
          <w:numId w:val="0"/>
        </w:numPr>
        <w:ind w:left="426"/>
      </w:pPr>
    </w:p>
    <w:p w14:paraId="0F066362" w14:textId="77777777" w:rsidR="00157606" w:rsidRDefault="00157606" w:rsidP="00157606">
      <w:pPr>
        <w:pStyle w:val="ListParagraph"/>
      </w:pPr>
      <w:r w:rsidRPr="00157606">
        <w:t xml:space="preserve">Changes to the accounting rules on property funds means that the principal gain or loss will now be charged to the Surplus or Deficit on the Provision of Services, </w:t>
      </w:r>
      <w:r w:rsidR="00970E3B">
        <w:t xml:space="preserve">within the Councils Income and Expenditure Account, </w:t>
      </w:r>
      <w:r w:rsidRPr="00157606">
        <w:t>rather than being held on the balance sheet.  However, following consultation by MHCLG the government has introduced a mandatory statutory override for local authorities to reverse out the effect for five years from 1st April 2018</w:t>
      </w:r>
      <w:r w:rsidR="00970E3B">
        <w:t xml:space="preserve"> after which surpluses as well as deficit will impact on the Councils revenue position</w:t>
      </w:r>
      <w:r>
        <w:t>.</w:t>
      </w:r>
      <w:r w:rsidR="008060AA">
        <w:t xml:space="preserve">  Even without the statutory override, the </w:t>
      </w:r>
      <w:r w:rsidR="008060AA">
        <w:lastRenderedPageBreak/>
        <w:t>Council would have created a reserve to hold the funds until the return was realised due to the potential for fluctuations in the property markets.</w:t>
      </w:r>
    </w:p>
    <w:p w14:paraId="031F5CC7" w14:textId="77777777" w:rsidR="00C54169" w:rsidRDefault="00157606" w:rsidP="00157606">
      <w:pPr>
        <w:pStyle w:val="ListParagraph"/>
      </w:pPr>
      <w:r w:rsidRPr="00157606">
        <w:t xml:space="preserve">The </w:t>
      </w:r>
      <w:r w:rsidR="00C54169">
        <w:t xml:space="preserve">investment </w:t>
      </w:r>
      <w:r w:rsidR="00506B9D">
        <w:t xml:space="preserve">returns </w:t>
      </w:r>
      <w:r w:rsidR="00C54169">
        <w:t>around £40k per quarter.</w:t>
      </w:r>
    </w:p>
    <w:p w14:paraId="6536FE48" w14:textId="77777777" w:rsidR="00076963" w:rsidRDefault="00076963" w:rsidP="00157606">
      <w:pPr>
        <w:pStyle w:val="ListParagraph"/>
        <w:numPr>
          <w:ilvl w:val="0"/>
          <w:numId w:val="0"/>
        </w:numPr>
        <w:ind w:left="426"/>
      </w:pPr>
    </w:p>
    <w:p w14:paraId="09C5EEA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0960FC4C" w14:textId="77777777" w:rsidR="00157606" w:rsidRPr="00506B9D"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£8.</w:t>
      </w:r>
      <w:r w:rsidR="00C3201E">
        <w:t>39</w:t>
      </w:r>
      <w:r w:rsidRPr="00157606">
        <w:t xml:space="preserve">m, compared with £7m at inception, equating to overall growth of </w:t>
      </w:r>
      <w:r w:rsidR="00C3201E">
        <w:t>19.79</w:t>
      </w:r>
      <w:r w:rsidRPr="00157606">
        <w:t xml:space="preserve">%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506B9D">
        <w:t>Lothbury</w:t>
      </w:r>
      <w:proofErr w:type="spellEnd"/>
      <w:r w:rsidRPr="00506B9D">
        <w:t xml:space="preserve"> Property Fund as explained in paragraph </w:t>
      </w:r>
      <w:r w:rsidR="00506B9D" w:rsidRPr="00506B9D">
        <w:t>2</w:t>
      </w:r>
      <w:r w:rsidR="00970E3B">
        <w:t>1</w:t>
      </w:r>
      <w:r w:rsidR="00506B9D" w:rsidRPr="00506B9D">
        <w:t xml:space="preserve"> </w:t>
      </w:r>
      <w:r w:rsidRPr="00506B9D">
        <w:t>above.</w:t>
      </w:r>
    </w:p>
    <w:p w14:paraId="68BBA69B" w14:textId="77777777" w:rsidR="00C54169" w:rsidRDefault="00C54169" w:rsidP="00157606">
      <w:pPr>
        <w:pStyle w:val="ListParagraph"/>
        <w:numPr>
          <w:ilvl w:val="0"/>
          <w:numId w:val="0"/>
        </w:numPr>
        <w:ind w:left="426"/>
      </w:pPr>
    </w:p>
    <w:p w14:paraId="01F36E97" w14:textId="77777777" w:rsidR="00C54169" w:rsidRDefault="00C3201E" w:rsidP="00157606">
      <w:pPr>
        <w:pStyle w:val="ListParagraph"/>
        <w:numPr>
          <w:ilvl w:val="0"/>
          <w:numId w:val="0"/>
        </w:numPr>
        <w:ind w:left="426"/>
      </w:pPr>
      <w:r>
        <w:rPr>
          <w:noProof/>
        </w:rPr>
        <w:drawing>
          <wp:inline distT="0" distB="0" distL="0" distR="0" wp14:anchorId="5B409370" wp14:editId="039893D5">
            <wp:extent cx="5904230" cy="3863975"/>
            <wp:effectExtent l="0" t="0" r="1270" b="3175"/>
            <wp:docPr id="24" name="Picture 24" title="Lothbury Proper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3863975"/>
                    </a:xfrm>
                    <a:prstGeom prst="rect">
                      <a:avLst/>
                    </a:prstGeom>
                  </pic:spPr>
                </pic:pic>
              </a:graphicData>
            </a:graphic>
          </wp:inline>
        </w:drawing>
      </w:r>
    </w:p>
    <w:p w14:paraId="72E64801" w14:textId="77777777" w:rsidR="00C54169" w:rsidRDefault="00C54169" w:rsidP="00157606">
      <w:pPr>
        <w:pStyle w:val="ListParagraph"/>
        <w:numPr>
          <w:ilvl w:val="0"/>
          <w:numId w:val="0"/>
        </w:numPr>
        <w:ind w:left="426"/>
      </w:pPr>
    </w:p>
    <w:p w14:paraId="07655491" w14:textId="77777777" w:rsidR="00157606" w:rsidRDefault="00C54169" w:rsidP="00157606">
      <w:pPr>
        <w:pStyle w:val="ListParagraph"/>
        <w:numPr>
          <w:ilvl w:val="0"/>
          <w:numId w:val="0"/>
        </w:numPr>
        <w:ind w:left="426"/>
      </w:pPr>
      <w:r w:rsidRPr="00C54169">
        <w:t xml:space="preserve">The investment </w:t>
      </w:r>
      <w:r w:rsidR="00506B9D">
        <w:t>returns</w:t>
      </w:r>
      <w:r w:rsidR="00506B9D" w:rsidRPr="00C54169">
        <w:t xml:space="preserve"> </w:t>
      </w:r>
      <w:r w:rsidRPr="00C54169">
        <w:t>around £</w:t>
      </w:r>
      <w:r>
        <w:t>64</w:t>
      </w:r>
      <w:r w:rsidRPr="00C54169">
        <w:t>k per quarter.</w:t>
      </w:r>
    </w:p>
    <w:p w14:paraId="5569EF01" w14:textId="77777777" w:rsidR="00116900" w:rsidRPr="00116900" w:rsidRDefault="00116900" w:rsidP="00116900">
      <w:pPr>
        <w:pStyle w:val="ListParagraph"/>
        <w:numPr>
          <w:ilvl w:val="0"/>
          <w:numId w:val="0"/>
        </w:numPr>
        <w:rPr>
          <w:b/>
        </w:rPr>
      </w:pPr>
      <w:r w:rsidRPr="00116900">
        <w:rPr>
          <w:b/>
        </w:rPr>
        <w:t>Investment Portfolio</w:t>
      </w:r>
    </w:p>
    <w:p w14:paraId="5C02D945" w14:textId="77777777" w:rsidR="00157606" w:rsidRDefault="00157606" w:rsidP="00157606">
      <w:pPr>
        <w:pStyle w:val="ListParagraph"/>
      </w:pPr>
      <w:r>
        <w:t>As at 30th September, the Council’s total investment portfolio amounted to £1</w:t>
      </w:r>
      <w:r w:rsidR="0086095D">
        <w:t>12</w:t>
      </w:r>
      <w:r>
        <w:t>.</w:t>
      </w:r>
      <w:r w:rsidR="0086095D">
        <w:t>5</w:t>
      </w:r>
      <w:r>
        <w:t>m, with £10m of this being held in property funds and £1</w:t>
      </w:r>
      <w:r w:rsidR="0086095D">
        <w:t>4</w:t>
      </w:r>
      <w:r>
        <w:t>m being held in instant access cash facilities</w:t>
      </w:r>
      <w:r w:rsidR="00970E3B">
        <w:t xml:space="preserve"> with the balance being held in banks and building societies</w:t>
      </w:r>
      <w:r>
        <w:t xml:space="preserve"> </w:t>
      </w:r>
    </w:p>
    <w:p w14:paraId="74561916" w14:textId="77777777" w:rsidR="00157606" w:rsidRDefault="00157606" w:rsidP="00157606">
      <w:pPr>
        <w:pStyle w:val="ListParagraph"/>
      </w:pPr>
      <w:r>
        <w:t>The graphs below illustrate how Council’s investment portfolio is distributed, both in terms of the type of investment and counterparty category:</w:t>
      </w:r>
    </w:p>
    <w:p w14:paraId="260D45D9" w14:textId="77777777" w:rsidR="00157606" w:rsidRDefault="00157606" w:rsidP="00157606">
      <w:pPr>
        <w:pStyle w:val="ListParagraph"/>
        <w:numPr>
          <w:ilvl w:val="0"/>
          <w:numId w:val="0"/>
        </w:numPr>
        <w:ind w:left="426"/>
      </w:pPr>
    </w:p>
    <w:p w14:paraId="663D5C30" w14:textId="77777777" w:rsidR="00157606" w:rsidRDefault="009A2EB5" w:rsidP="00157606">
      <w:pPr>
        <w:pStyle w:val="ListParagraph"/>
        <w:numPr>
          <w:ilvl w:val="0"/>
          <w:numId w:val="0"/>
        </w:numPr>
        <w:ind w:left="426"/>
      </w:pPr>
      <w:r w:rsidRPr="009A2EB5">
        <w:rPr>
          <w:noProof/>
        </w:rPr>
        <w:drawing>
          <wp:inline distT="0" distB="0" distL="0" distR="0" wp14:anchorId="5DD4678E" wp14:editId="1DC1DCEA">
            <wp:extent cx="5904230" cy="3676650"/>
            <wp:effectExtent l="0" t="0" r="1270" b="0"/>
            <wp:docPr id="15" name="Picture 15" descr="30 September 2019" title="Investment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3676650"/>
                    </a:xfrm>
                    <a:prstGeom prst="rect">
                      <a:avLst/>
                    </a:prstGeom>
                  </pic:spPr>
                </pic:pic>
              </a:graphicData>
            </a:graphic>
          </wp:inline>
        </w:drawing>
      </w:r>
    </w:p>
    <w:p w14:paraId="5B068CC8" w14:textId="77777777" w:rsidR="009A2EB5" w:rsidRDefault="009A2EB5" w:rsidP="00157606">
      <w:pPr>
        <w:pStyle w:val="ListParagraph"/>
        <w:numPr>
          <w:ilvl w:val="0"/>
          <w:numId w:val="0"/>
        </w:numPr>
        <w:ind w:left="426"/>
      </w:pPr>
      <w:r w:rsidRPr="009A2EB5">
        <w:rPr>
          <w:noProof/>
        </w:rPr>
        <w:drawing>
          <wp:inline distT="0" distB="0" distL="0" distR="0" wp14:anchorId="5C0B0556" wp14:editId="636CE59C">
            <wp:extent cx="5904230" cy="3649345"/>
            <wp:effectExtent l="0" t="0" r="1270" b="8255"/>
            <wp:docPr id="17" name="Picture 17" descr="30 September 2019" title="Investment by Counterpar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649345"/>
                    </a:xfrm>
                    <a:prstGeom prst="rect">
                      <a:avLst/>
                    </a:prstGeom>
                  </pic:spPr>
                </pic:pic>
              </a:graphicData>
            </a:graphic>
          </wp:inline>
        </w:drawing>
      </w:r>
    </w:p>
    <w:p w14:paraId="2553AB5A" w14:textId="77777777" w:rsidR="00157606" w:rsidRDefault="00157606" w:rsidP="00157606">
      <w:pPr>
        <w:pStyle w:val="ListParagraph"/>
      </w:pPr>
      <w:r>
        <w:t xml:space="preserve">Fixed deposits and certificates of deposits both have an agreed start and end date which are arranged where possible, to suit the </w:t>
      </w:r>
      <w:proofErr w:type="spellStart"/>
      <w:r>
        <w:t>cashflow</w:t>
      </w:r>
      <w:proofErr w:type="spellEnd"/>
      <w:r>
        <w:t xml:space="preserve"> requirements. However, as mentioned previously, it is also important to keep a proportion in instant access funds. </w:t>
      </w:r>
    </w:p>
    <w:p w14:paraId="15E1553E" w14:textId="77777777" w:rsidR="00157606" w:rsidRDefault="00157606" w:rsidP="00157606">
      <w:pPr>
        <w:pStyle w:val="ListParagraph"/>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w:t>
      </w:r>
      <w:r>
        <w:lastRenderedPageBreak/>
        <w:t xml:space="preserve">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008FF22F" w14:textId="77777777" w:rsidR="00157606" w:rsidRDefault="00157606" w:rsidP="00157606">
      <w:pPr>
        <w:pStyle w:val="ListParagraph"/>
      </w:pPr>
      <w:r>
        <w:t xml:space="preserve">£10 million is committed in the CCLA and </w:t>
      </w:r>
      <w:proofErr w:type="spellStart"/>
      <w:r>
        <w:t>Lothbury</w:t>
      </w:r>
      <w:proofErr w:type="spellEnd"/>
      <w:r>
        <w:t xml:space="preserve"> property funds and we are currently looking at utilising residual headroom to invest further in some non-specified investments.  It should be noted that the £5 million invested in the National Homelessness Property Fund (Real Lettings) is, following discussions with our external auditors, classified as a service investment undertaken using service delivery powers rather than treasury powers under Section 12 of the Local Government Act 2003</w:t>
      </w:r>
      <w:r w:rsidR="00E17EDD">
        <w:t>. T</w:t>
      </w:r>
      <w:r w:rsidR="002F6F50">
        <w:t>his means the counterparty limit for the £5m invested in the National Homelessness Property Fund is not taken into account when assessing the residual headroom available for investment in non-specified investments.</w:t>
      </w:r>
    </w:p>
    <w:p w14:paraId="2D4AB391" w14:textId="77777777" w:rsidR="00157606" w:rsidRDefault="00157606" w:rsidP="00157606">
      <w:pPr>
        <w:pStyle w:val="ListParagraph"/>
      </w:pPr>
      <w:r>
        <w:t>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£8</w:t>
      </w:r>
      <w:r w:rsidR="009A2EB5">
        <w:t>8</w:t>
      </w:r>
      <w:r>
        <w:t>.5m when excluding the instant access cash) is illustrated below.</w:t>
      </w:r>
    </w:p>
    <w:p w14:paraId="25D787E3" w14:textId="77777777" w:rsidR="00E74A89" w:rsidRDefault="009A2EB5" w:rsidP="00E74A89">
      <w:pPr>
        <w:pStyle w:val="ListParagraph"/>
        <w:numPr>
          <w:ilvl w:val="0"/>
          <w:numId w:val="0"/>
        </w:numPr>
        <w:ind w:left="426"/>
      </w:pPr>
      <w:r w:rsidRPr="009A2EB5">
        <w:rPr>
          <w:noProof/>
        </w:rPr>
        <w:drawing>
          <wp:inline distT="0" distB="0" distL="0" distR="0" wp14:anchorId="6BE01E7C" wp14:editId="2EBFAA32">
            <wp:extent cx="5904230" cy="3817620"/>
            <wp:effectExtent l="0" t="0" r="1270" b="0"/>
            <wp:docPr id="18" name="Picture 18" title="Maturity Profile as at 30 Sept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3817620"/>
                    </a:xfrm>
                    <a:prstGeom prst="rect">
                      <a:avLst/>
                    </a:prstGeom>
                  </pic:spPr>
                </pic:pic>
              </a:graphicData>
            </a:graphic>
          </wp:inline>
        </w:drawing>
      </w:r>
    </w:p>
    <w:p w14:paraId="5884D602" w14:textId="77777777" w:rsidR="00E74A89" w:rsidRDefault="00E74A89" w:rsidP="00E74A89">
      <w:pPr>
        <w:pStyle w:val="ListParagraph"/>
      </w:pPr>
      <w:r>
        <w:t xml:space="preserve">The graph below illustrates the same investments by duration period in order to demonstrate duration periods. It is not surprising that the majority of investments have a duration period of six months as this is the limit for most of the banks and </w:t>
      </w:r>
      <w:r>
        <w:lastRenderedPageBreak/>
        <w:t>building societies with whom the Council may invest. When the opportunity arises, longer investments are arranged to allow for a greater yield.</w:t>
      </w:r>
    </w:p>
    <w:p w14:paraId="7B12F84E" w14:textId="77777777" w:rsidR="00E74A89" w:rsidRDefault="00AB719A" w:rsidP="00E74A89">
      <w:pPr>
        <w:pStyle w:val="ListParagraph"/>
        <w:numPr>
          <w:ilvl w:val="0"/>
          <w:numId w:val="0"/>
        </w:numPr>
        <w:ind w:left="426"/>
      </w:pPr>
      <w:r w:rsidRPr="00AB719A">
        <w:rPr>
          <w:noProof/>
        </w:rPr>
        <w:drawing>
          <wp:inline distT="0" distB="0" distL="0" distR="0" wp14:anchorId="2BA0D37D" wp14:editId="56BF8F6F">
            <wp:extent cx="5904230" cy="3207385"/>
            <wp:effectExtent l="0" t="0" r="1270" b="0"/>
            <wp:docPr id="19" name="Picture 19" descr="30 September 2019" title="Investment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4230" cy="3207385"/>
                    </a:xfrm>
                    <a:prstGeom prst="rect">
                      <a:avLst/>
                    </a:prstGeom>
                  </pic:spPr>
                </pic:pic>
              </a:graphicData>
            </a:graphic>
          </wp:inline>
        </w:drawing>
      </w:r>
    </w:p>
    <w:p w14:paraId="21CCCE4F" w14:textId="77777777" w:rsidR="00E74A89" w:rsidRPr="00E74A89" w:rsidRDefault="00E74A89" w:rsidP="00E74A89">
      <w:pPr>
        <w:pStyle w:val="ListParagraph"/>
        <w:numPr>
          <w:ilvl w:val="0"/>
          <w:numId w:val="0"/>
        </w:numPr>
        <w:rPr>
          <w:b/>
        </w:rPr>
      </w:pPr>
      <w:r w:rsidRPr="00E74A89">
        <w:rPr>
          <w:b/>
        </w:rPr>
        <w:t>Borrowing</w:t>
      </w:r>
    </w:p>
    <w:p w14:paraId="49137DD9" w14:textId="77777777"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Public Works Loans Board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0BCFBCCF" w14:textId="77777777" w:rsidR="00506B9D" w:rsidRDefault="00E74A89" w:rsidP="00CE321A">
      <w:pPr>
        <w:pStyle w:val="ListParagraph"/>
      </w:pPr>
      <w:r>
        <w:t xml:space="preserve">The Council anticipates borrowing in the future to meet its capital expenditure requirements, including loans to the Housing Company, but does not anticipate any external borrowing during </w:t>
      </w:r>
      <w:r w:rsidR="00CE321A">
        <w:t>2019</w:t>
      </w:r>
      <w:r>
        <w:t>/</w:t>
      </w:r>
      <w:r w:rsidR="00CE321A">
        <w:t>20</w:t>
      </w:r>
      <w:r w:rsidR="00506B9D">
        <w:t>.</w:t>
      </w:r>
    </w:p>
    <w:p w14:paraId="3B8B15E9" w14:textId="77777777" w:rsidR="00B52CE1" w:rsidRDefault="00B52CE1" w:rsidP="00E74A89">
      <w:pPr>
        <w:pStyle w:val="ListParagraph"/>
        <w:numPr>
          <w:ilvl w:val="0"/>
          <w:numId w:val="0"/>
        </w:numPr>
        <w:rPr>
          <w:b/>
        </w:rPr>
      </w:pPr>
      <w:r w:rsidRPr="00B52CE1">
        <w:rPr>
          <w:b/>
        </w:rPr>
        <w:t>Treasury and Prudential Limits for 20</w:t>
      </w:r>
      <w:r w:rsidR="003F36C7">
        <w:rPr>
          <w:b/>
        </w:rPr>
        <w:t>19</w:t>
      </w:r>
      <w:r w:rsidRPr="00B52CE1">
        <w:rPr>
          <w:b/>
        </w:rPr>
        <w:t>/</w:t>
      </w:r>
      <w:r w:rsidR="003F36C7">
        <w:rPr>
          <w:b/>
        </w:rPr>
        <w:t>20</w:t>
      </w:r>
    </w:p>
    <w:p w14:paraId="61D454C6" w14:textId="77777777" w:rsidR="00B52CE1" w:rsidRDefault="00B52CE1" w:rsidP="00B52CE1">
      <w:pPr>
        <w:pStyle w:val="ListParagraph"/>
      </w:pPr>
      <w:r>
        <w:t>The Council has operated all of its Treasury Management activity within the parameters set by the Treasury and Prudential indicators in the Treasury Management Strategy for 201</w:t>
      </w:r>
      <w:r w:rsidR="003F36C7">
        <w:t>9</w:t>
      </w:r>
      <w:r>
        <w:t>/</w:t>
      </w:r>
      <w:r w:rsidR="003F36C7">
        <w:t>20</w:t>
      </w:r>
      <w:r>
        <w:t>.</w:t>
      </w:r>
    </w:p>
    <w:p w14:paraId="29C5148F" w14:textId="77777777" w:rsidR="00506B9D" w:rsidRDefault="00506B9D" w:rsidP="00506B9D">
      <w:pPr>
        <w:pStyle w:val="ListParagraph"/>
        <w:numPr>
          <w:ilvl w:val="0"/>
          <w:numId w:val="0"/>
        </w:numPr>
        <w:rPr>
          <w:b/>
        </w:rPr>
      </w:pPr>
      <w:r w:rsidRPr="00506B9D">
        <w:rPr>
          <w:b/>
        </w:rPr>
        <w:t>Proposed Change to Counterparty Li</w:t>
      </w:r>
      <w:r>
        <w:rPr>
          <w:b/>
        </w:rPr>
        <w:t>sts</w:t>
      </w:r>
    </w:p>
    <w:p w14:paraId="08B2899E" w14:textId="77777777" w:rsidR="00506B9D" w:rsidRDefault="00506B9D" w:rsidP="00506B9D">
      <w:pPr>
        <w:pStyle w:val="ListParagraph"/>
      </w:pPr>
      <w:r w:rsidRPr="00506B9D">
        <w:t>The consultation budget presented to City Executive Board on 18th December 2018 and ratified at the City Executive Board meeting of 12th February 2019 and Council of 13th February 2019 included a proposal to make a further £10 million investment in property funds.  This is within the counterparty limits of the 2019/20 treasury strategy as per the non-specified counterparty limit shown below:</w:t>
      </w:r>
    </w:p>
    <w:p w14:paraId="3AF471A6" w14:textId="77777777" w:rsidR="00F854FB" w:rsidRDefault="00F854FB" w:rsidP="00F854FB">
      <w:pPr>
        <w:pStyle w:val="ListParagraph"/>
        <w:numPr>
          <w:ilvl w:val="0"/>
          <w:numId w:val="0"/>
        </w:numPr>
        <w:ind w:left="426"/>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506B9D" w:rsidRPr="00506B9D" w14:paraId="67F26434" w14:textId="77777777" w:rsidTr="00631C21">
        <w:tc>
          <w:tcPr>
            <w:tcW w:w="3821" w:type="dxa"/>
            <w:shd w:val="clear" w:color="auto" w:fill="D9D9D9"/>
          </w:tcPr>
          <w:p w14:paraId="4EB8B0AA" w14:textId="77777777" w:rsidR="00506B9D" w:rsidRPr="00506B9D" w:rsidRDefault="00506B9D" w:rsidP="00506B9D">
            <w:pPr>
              <w:spacing w:after="160" w:line="259" w:lineRule="auto"/>
              <w:ind w:left="142" w:hanging="142"/>
              <w:rPr>
                <w:color w:val="auto"/>
                <w:sz w:val="22"/>
                <w:szCs w:val="22"/>
                <w:lang w:eastAsia="en-US"/>
              </w:rPr>
            </w:pPr>
          </w:p>
        </w:tc>
        <w:tc>
          <w:tcPr>
            <w:tcW w:w="2234" w:type="dxa"/>
            <w:shd w:val="clear" w:color="auto" w:fill="D9D9D9"/>
          </w:tcPr>
          <w:p w14:paraId="1E5E4EE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Minimum Credit Criteria</w:t>
            </w:r>
          </w:p>
        </w:tc>
        <w:tc>
          <w:tcPr>
            <w:tcW w:w="1817" w:type="dxa"/>
            <w:shd w:val="clear" w:color="auto" w:fill="D9D9D9"/>
          </w:tcPr>
          <w:p w14:paraId="230622B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 of total investments/£ limit per institution</w:t>
            </w:r>
          </w:p>
        </w:tc>
        <w:tc>
          <w:tcPr>
            <w:tcW w:w="1956" w:type="dxa"/>
            <w:shd w:val="clear" w:color="auto" w:fill="D9D9D9"/>
          </w:tcPr>
          <w:p w14:paraId="3D6F0A7E"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maturity period</w:t>
            </w:r>
          </w:p>
        </w:tc>
      </w:tr>
      <w:tr w:rsidR="00506B9D" w:rsidRPr="00506B9D" w14:paraId="7658EB1E" w14:textId="77777777" w:rsidTr="00631C21">
        <w:tc>
          <w:tcPr>
            <w:tcW w:w="3821" w:type="dxa"/>
            <w:tcBorders>
              <w:top w:val="single" w:sz="4" w:space="0" w:color="auto"/>
              <w:left w:val="single" w:sz="4" w:space="0" w:color="auto"/>
              <w:bottom w:val="single" w:sz="4" w:space="0" w:color="auto"/>
              <w:right w:val="single" w:sz="4" w:space="0" w:color="auto"/>
            </w:tcBorders>
            <w:shd w:val="clear" w:color="auto" w:fill="auto"/>
          </w:tcPr>
          <w:p w14:paraId="58FB1653" w14:textId="77777777" w:rsidR="00506B9D" w:rsidRPr="00506B9D" w:rsidRDefault="00506B9D" w:rsidP="00506B9D">
            <w:pPr>
              <w:spacing w:after="0"/>
              <w:rPr>
                <w:color w:val="auto"/>
                <w:lang w:eastAsia="en-US"/>
              </w:rPr>
            </w:pPr>
            <w:r w:rsidRPr="00506B9D">
              <w:rPr>
                <w:color w:val="auto"/>
                <w:lang w:eastAsia="en-US"/>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3945C86" w14:textId="77777777" w:rsidR="00506B9D" w:rsidRPr="00506B9D" w:rsidRDefault="00506B9D" w:rsidP="00506B9D">
            <w:pPr>
              <w:spacing w:after="0"/>
              <w:rPr>
                <w:color w:val="auto"/>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DAE4982" w14:textId="77777777" w:rsidR="00506B9D" w:rsidRPr="00506B9D" w:rsidRDefault="00506B9D" w:rsidP="00506B9D">
            <w:pPr>
              <w:spacing w:after="0"/>
              <w:rPr>
                <w:color w:val="auto"/>
                <w:lang w:eastAsia="en-US"/>
              </w:rPr>
            </w:pPr>
            <w:r w:rsidRPr="00506B9D">
              <w:rPr>
                <w:color w:val="auto"/>
                <w:lang w:eastAsia="en-US"/>
              </w:rPr>
              <w:t>25% of total investments or £24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246EF59" w14:textId="77777777" w:rsidR="00506B9D" w:rsidRPr="00506B9D" w:rsidRDefault="00506B9D" w:rsidP="00506B9D">
            <w:pPr>
              <w:spacing w:after="0"/>
              <w:rPr>
                <w:color w:val="auto"/>
                <w:lang w:eastAsia="en-US"/>
              </w:rPr>
            </w:pPr>
            <w:r w:rsidRPr="00506B9D">
              <w:rPr>
                <w:color w:val="auto"/>
                <w:lang w:eastAsia="en-US"/>
              </w:rPr>
              <w:t>Medium to long term</w:t>
            </w:r>
          </w:p>
        </w:tc>
      </w:tr>
    </w:tbl>
    <w:p w14:paraId="4C40CA2C" w14:textId="77777777" w:rsidR="00506B9D" w:rsidRDefault="00506B9D" w:rsidP="00506B9D">
      <w:pPr>
        <w:pStyle w:val="ListParagraph"/>
        <w:numPr>
          <w:ilvl w:val="0"/>
          <w:numId w:val="0"/>
        </w:numPr>
        <w:ind w:left="426"/>
      </w:pPr>
    </w:p>
    <w:p w14:paraId="6C98D685" w14:textId="77777777" w:rsidR="00506B9D" w:rsidRDefault="00506B9D" w:rsidP="00506B9D">
      <w:pPr>
        <w:pStyle w:val="ListParagraph"/>
      </w:pPr>
      <w:r w:rsidRPr="00506B9D">
        <w:t xml:space="preserve">In order to provide greater diversification within the treasury investment portfolio, it is proposed to consider investing in a Multi Asset fund instead.  This would reduce the Council’s reliance on property based income and therefore reduce exposure to this sector.  The Council has been advised by their treasury advisors, Link Asset </w:t>
      </w:r>
      <w:proofErr w:type="gramStart"/>
      <w:r w:rsidRPr="00506B9D">
        <w:t>Services, that</w:t>
      </w:r>
      <w:proofErr w:type="gramEnd"/>
      <w:r w:rsidRPr="00506B9D">
        <w:t xml:space="preserve"> the financial returns from these types of funds are similar and so there would be no adverse effect on the budgets already approved.  It is therefore proposed to amend this counterparty limit to cover Indirect Property Funds and Multi Asset funds.</w:t>
      </w:r>
    </w:p>
    <w:p w14:paraId="3E6A92AB" w14:textId="77777777" w:rsidR="00E74A89" w:rsidRDefault="00E74A89" w:rsidP="00E74A89">
      <w:pPr>
        <w:pStyle w:val="ListParagraph"/>
        <w:numPr>
          <w:ilvl w:val="0"/>
          <w:numId w:val="0"/>
        </w:numPr>
        <w:rPr>
          <w:b/>
        </w:rPr>
      </w:pPr>
      <w:r w:rsidRPr="00E74A89">
        <w:rPr>
          <w:b/>
        </w:rPr>
        <w:t>Other Key Updates</w:t>
      </w:r>
    </w:p>
    <w:p w14:paraId="198988C2" w14:textId="77777777" w:rsidR="00E74A89" w:rsidRPr="00E74A89" w:rsidRDefault="00E74A89" w:rsidP="00E74A89">
      <w:pPr>
        <w:pStyle w:val="ListParagraph"/>
        <w:numPr>
          <w:ilvl w:val="0"/>
          <w:numId w:val="0"/>
        </w:numPr>
        <w:rPr>
          <w:b/>
        </w:rPr>
      </w:pPr>
      <w:r w:rsidRPr="00E74A89">
        <w:rPr>
          <w:b/>
        </w:rPr>
        <w:t>Changes in Risk Appetite</w:t>
      </w:r>
    </w:p>
    <w:p w14:paraId="4C503DC3" w14:textId="77777777"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Oxford City Council has not made any significant changes to its investment approach at this time although there is the intention to further invest in property funds in the near future.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3D5E4006" w14:textId="77777777" w:rsidR="008308BC" w:rsidRPr="004A3128" w:rsidRDefault="008308BC" w:rsidP="008308BC">
      <w:pPr>
        <w:pStyle w:val="Heading1"/>
      </w:pPr>
      <w:r w:rsidRPr="004A3128">
        <w:t>Treasury Advisor</w:t>
      </w:r>
    </w:p>
    <w:p w14:paraId="63CB0C61" w14:textId="77777777"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14:paraId="7FA6DC25" w14:textId="77777777" w:rsidR="0040736F" w:rsidRPr="001356F1" w:rsidRDefault="002329CF" w:rsidP="004A6D2F">
      <w:pPr>
        <w:pStyle w:val="Heading1"/>
      </w:pPr>
      <w:r w:rsidRPr="001356F1">
        <w:t xml:space="preserve">Financial </w:t>
      </w:r>
      <w:r w:rsidR="007B3C94">
        <w:t>I</w:t>
      </w:r>
      <w:r w:rsidRPr="001356F1">
        <w:t>mplications</w:t>
      </w:r>
    </w:p>
    <w:p w14:paraId="3F5881C2" w14:textId="77777777" w:rsidR="00E87F7A" w:rsidRPr="001356F1" w:rsidRDefault="008308BC" w:rsidP="008308BC">
      <w:pPr>
        <w:pStyle w:val="ListParagraph"/>
      </w:pPr>
      <w:r w:rsidRPr="008308BC">
        <w:t>Any financial implications are contained within the body of this report.</w:t>
      </w:r>
    </w:p>
    <w:p w14:paraId="4176D54E" w14:textId="77777777" w:rsidR="0040736F" w:rsidRPr="001356F1" w:rsidRDefault="00DA614B" w:rsidP="004A6D2F">
      <w:pPr>
        <w:pStyle w:val="Heading1"/>
      </w:pPr>
      <w:r w:rsidRPr="001356F1">
        <w:t xml:space="preserve">Legal </w:t>
      </w:r>
      <w:r w:rsidR="007B3C94">
        <w:t>I</w:t>
      </w:r>
      <w:r w:rsidRPr="001356F1">
        <w:t>ssues</w:t>
      </w:r>
    </w:p>
    <w:p w14:paraId="06E1E569" w14:textId="77777777" w:rsidR="00E87F7A" w:rsidRPr="001356F1" w:rsidRDefault="008308BC" w:rsidP="008308BC">
      <w:pPr>
        <w:pStyle w:val="ListParagraph"/>
      </w:pPr>
      <w:r w:rsidRPr="008308BC">
        <w:t>There are no legal implications directly relevant to this report.</w:t>
      </w:r>
    </w:p>
    <w:p w14:paraId="232A98FB" w14:textId="77777777" w:rsidR="002329CF" w:rsidRPr="001356F1" w:rsidRDefault="002329CF" w:rsidP="004A6D2F">
      <w:pPr>
        <w:pStyle w:val="Heading1"/>
      </w:pPr>
      <w:r w:rsidRPr="001356F1">
        <w:t xml:space="preserve">Level of </w:t>
      </w:r>
      <w:r w:rsidR="007B3C94">
        <w:t>R</w:t>
      </w:r>
      <w:r w:rsidRPr="001356F1">
        <w:t>isk</w:t>
      </w:r>
    </w:p>
    <w:p w14:paraId="343B92A0" w14:textId="77777777" w:rsidR="00BC69A4" w:rsidRPr="001356F1" w:rsidRDefault="008308BC" w:rsidP="008308BC">
      <w:pPr>
        <w:pStyle w:val="ListParagraph"/>
      </w:pPr>
      <w:r w:rsidRPr="008308BC">
        <w:t xml:space="preserve">There are no risks in connection with the report’s recommendations. Risk assessment and management is a key part of Treasury Management activity especially in the selection of counterparties when considering investment </w:t>
      </w:r>
      <w:r w:rsidRPr="008308BC">
        <w:lastRenderedPageBreak/>
        <w:t>opportunities. The Council uses external advisors and counterparty credit ratings issued by the rating agencies to assist in this process.</w:t>
      </w:r>
    </w:p>
    <w:p w14:paraId="6C74DBDD" w14:textId="77777777" w:rsidR="002329CF" w:rsidRPr="001356F1" w:rsidRDefault="002329CF" w:rsidP="0050321C">
      <w:pPr>
        <w:pStyle w:val="Heading1"/>
      </w:pPr>
      <w:r w:rsidRPr="001356F1">
        <w:t xml:space="preserve">Equalities </w:t>
      </w:r>
      <w:r w:rsidR="007B3C94">
        <w:t>I</w:t>
      </w:r>
      <w:r w:rsidRPr="001356F1">
        <w:t xml:space="preserve">mpact </w:t>
      </w:r>
    </w:p>
    <w:p w14:paraId="5A23A206" w14:textId="77777777" w:rsidR="002329CF" w:rsidRPr="001356F1" w:rsidRDefault="008308BC" w:rsidP="008308BC">
      <w:pPr>
        <w:pStyle w:val="ListParagraph"/>
      </w:pPr>
      <w:r w:rsidRPr="008308BC">
        <w:t>There are no equalities impacts arising directly from this report.</w:t>
      </w:r>
    </w:p>
    <w:p w14:paraId="240B9A0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8DA25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20837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612BCD" w14:textId="77777777" w:rsidR="00E87F7A" w:rsidRPr="001356F1" w:rsidRDefault="00533C64" w:rsidP="00533C64">
            <w:r>
              <w:t>Bill Lewis</w:t>
            </w:r>
          </w:p>
        </w:tc>
      </w:tr>
      <w:tr w:rsidR="00DF093E" w:rsidRPr="001356F1" w14:paraId="21FE73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E7EFA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E1A187" w14:textId="77777777" w:rsidR="00E87F7A" w:rsidRPr="001356F1" w:rsidRDefault="00533C64" w:rsidP="00533C64">
            <w:r>
              <w:t>Financial Accounting Manager</w:t>
            </w:r>
          </w:p>
        </w:tc>
      </w:tr>
      <w:tr w:rsidR="00DF093E" w:rsidRPr="001356F1" w14:paraId="68939179" w14:textId="77777777" w:rsidTr="00A46E98">
        <w:trPr>
          <w:cantSplit/>
          <w:trHeight w:val="396"/>
        </w:trPr>
        <w:tc>
          <w:tcPr>
            <w:tcW w:w="3969" w:type="dxa"/>
            <w:tcBorders>
              <w:top w:val="nil"/>
              <w:left w:val="single" w:sz="8" w:space="0" w:color="000000"/>
              <w:bottom w:val="nil"/>
              <w:right w:val="nil"/>
            </w:tcBorders>
            <w:shd w:val="clear" w:color="auto" w:fill="auto"/>
          </w:tcPr>
          <w:p w14:paraId="398F120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B4865E" w14:textId="77777777" w:rsidR="00E87F7A" w:rsidRPr="001356F1" w:rsidRDefault="00533C64" w:rsidP="00A46E98">
            <w:r>
              <w:t>Financial Services</w:t>
            </w:r>
          </w:p>
        </w:tc>
      </w:tr>
      <w:tr w:rsidR="00DF093E" w:rsidRPr="001356F1" w14:paraId="213BA7AF" w14:textId="77777777" w:rsidTr="00A46E98">
        <w:trPr>
          <w:cantSplit/>
          <w:trHeight w:val="396"/>
        </w:trPr>
        <w:tc>
          <w:tcPr>
            <w:tcW w:w="3969" w:type="dxa"/>
            <w:tcBorders>
              <w:top w:val="nil"/>
              <w:left w:val="single" w:sz="8" w:space="0" w:color="000000"/>
              <w:bottom w:val="nil"/>
              <w:right w:val="nil"/>
            </w:tcBorders>
            <w:shd w:val="clear" w:color="auto" w:fill="auto"/>
          </w:tcPr>
          <w:p w14:paraId="0040BA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E334DC7" w14:textId="77777777" w:rsidR="00E87F7A" w:rsidRPr="001356F1" w:rsidRDefault="00E87F7A" w:rsidP="00533C64">
            <w:r w:rsidRPr="001356F1">
              <w:t xml:space="preserve">01865 </w:t>
            </w:r>
            <w:r w:rsidR="00533C64">
              <w:t xml:space="preserve">252607 </w:t>
            </w:r>
          </w:p>
        </w:tc>
      </w:tr>
      <w:tr w:rsidR="005570B5" w:rsidRPr="001356F1" w14:paraId="6D5217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89CA5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734605"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014F8F1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57F2F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430F6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058A673" w14:textId="77777777" w:rsidR="00CE4C87" w:rsidRDefault="00CE4C87" w:rsidP="0093067A"/>
    <w:sectPr w:rsidR="00CE4C87"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0BA2" w14:textId="77777777" w:rsidR="00BB4EE7" w:rsidRDefault="00BB4EE7" w:rsidP="004A6D2F">
      <w:r>
        <w:separator/>
      </w:r>
    </w:p>
  </w:endnote>
  <w:endnote w:type="continuationSeparator" w:id="0">
    <w:p w14:paraId="353D0AFE" w14:textId="77777777" w:rsidR="00BB4EE7" w:rsidRDefault="00BB4EE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152B" w14:textId="77777777" w:rsidR="003E5EEB" w:rsidRDefault="003E5EEB" w:rsidP="004A6D2F">
    <w:pPr>
      <w:pStyle w:val="Footer"/>
    </w:pPr>
    <w:r>
      <w:t>Do not use a footer or page numbers.</w:t>
    </w:r>
  </w:p>
  <w:p w14:paraId="6334CB1D" w14:textId="77777777" w:rsidR="003E5EEB" w:rsidRDefault="003E5EEB" w:rsidP="004A6D2F">
    <w:pPr>
      <w:pStyle w:val="Footer"/>
    </w:pPr>
  </w:p>
  <w:p w14:paraId="7B611616"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38E1"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62EA" w14:textId="77777777" w:rsidR="00BB4EE7" w:rsidRDefault="00BB4EE7" w:rsidP="004A6D2F">
      <w:r>
        <w:separator/>
      </w:r>
    </w:p>
  </w:footnote>
  <w:footnote w:type="continuationSeparator" w:id="0">
    <w:p w14:paraId="4B816AA2" w14:textId="77777777" w:rsidR="00BB4EE7" w:rsidRDefault="00BB4EE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9FAC" w14:textId="77777777" w:rsidR="003E5EEB" w:rsidRDefault="003E5EEB" w:rsidP="00D5547E">
    <w:pPr>
      <w:pStyle w:val="Header"/>
      <w:jc w:val="right"/>
    </w:pPr>
    <w:r>
      <w:rPr>
        <w:noProof/>
      </w:rPr>
      <w:drawing>
        <wp:inline distT="0" distB="0" distL="0" distR="0" wp14:anchorId="1F61969B" wp14:editId="7DDB6A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90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BC31A6"/>
    <w:multiLevelType w:val="hybridMultilevel"/>
    <w:tmpl w:val="FA3EC15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EA12EA"/>
    <w:multiLevelType w:val="hybridMultilevel"/>
    <w:tmpl w:val="7EC6F4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62A22831"/>
    <w:multiLevelType w:val="multilevel"/>
    <w:tmpl w:val="43D6D2FA"/>
    <w:numStyleLink w:val="StyleBulletedSymbolsymbolLeft063cmHanging063cm"/>
  </w:abstractNum>
  <w:abstractNum w:abstractNumId="39">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abstractNum w:abstractNumId="45">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EDC05F6"/>
    <w:multiLevelType w:val="hybridMultilevel"/>
    <w:tmpl w:val="DD4E8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1"/>
  </w:num>
  <w:num w:numId="3">
    <w:abstractNumId w:val="28"/>
  </w:num>
  <w:num w:numId="4">
    <w:abstractNumId w:val="22"/>
  </w:num>
  <w:num w:numId="5">
    <w:abstractNumId w:val="36"/>
  </w:num>
  <w:num w:numId="6">
    <w:abstractNumId w:val="43"/>
  </w:num>
  <w:num w:numId="7">
    <w:abstractNumId w:val="26"/>
  </w:num>
  <w:num w:numId="8">
    <w:abstractNumId w:val="23"/>
  </w:num>
  <w:num w:numId="9">
    <w:abstractNumId w:val="13"/>
  </w:num>
  <w:num w:numId="10">
    <w:abstractNumId w:val="17"/>
  </w:num>
  <w:num w:numId="11">
    <w:abstractNumId w:val="32"/>
  </w:num>
  <w:num w:numId="12">
    <w:abstractNumId w:val="29"/>
  </w:num>
  <w:num w:numId="13">
    <w:abstractNumId w:val="10"/>
  </w:num>
  <w:num w:numId="14">
    <w:abstractNumId w:val="44"/>
  </w:num>
  <w:num w:numId="15">
    <w:abstractNumId w:val="19"/>
  </w:num>
  <w:num w:numId="16">
    <w:abstractNumId w:val="11"/>
  </w:num>
  <w:num w:numId="17">
    <w:abstractNumId w:val="35"/>
  </w:num>
  <w:num w:numId="18">
    <w:abstractNumId w:val="12"/>
  </w:num>
  <w:num w:numId="19">
    <w:abstractNumId w:val="38"/>
  </w:num>
  <w:num w:numId="20">
    <w:abstractNumId w:val="20"/>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31"/>
  </w:num>
  <w:num w:numId="36">
    <w:abstractNumId w:val="4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0"/>
  </w:num>
  <w:num w:numId="40">
    <w:abstractNumId w:val="15"/>
  </w:num>
  <w:num w:numId="41">
    <w:abstractNumId w:val="42"/>
  </w:num>
  <w:num w:numId="42">
    <w:abstractNumId w:val="21"/>
  </w:num>
  <w:num w:numId="43">
    <w:abstractNumId w:val="2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43D"/>
    <w:rsid w:val="00016B12"/>
    <w:rsid w:val="000314D7"/>
    <w:rsid w:val="000367D6"/>
    <w:rsid w:val="00045F8B"/>
    <w:rsid w:val="00046D2B"/>
    <w:rsid w:val="00056263"/>
    <w:rsid w:val="00064D8A"/>
    <w:rsid w:val="00064F82"/>
    <w:rsid w:val="00066510"/>
    <w:rsid w:val="000737D6"/>
    <w:rsid w:val="00076963"/>
    <w:rsid w:val="00077523"/>
    <w:rsid w:val="00091FED"/>
    <w:rsid w:val="000B1E0D"/>
    <w:rsid w:val="000C089F"/>
    <w:rsid w:val="000C3928"/>
    <w:rsid w:val="000C5E8E"/>
    <w:rsid w:val="000F1A5B"/>
    <w:rsid w:val="000F4751"/>
    <w:rsid w:val="000F47D2"/>
    <w:rsid w:val="000F6532"/>
    <w:rsid w:val="0010524C"/>
    <w:rsid w:val="00106DCE"/>
    <w:rsid w:val="00111A0B"/>
    <w:rsid w:val="00111FB1"/>
    <w:rsid w:val="00113418"/>
    <w:rsid w:val="00116900"/>
    <w:rsid w:val="00116F97"/>
    <w:rsid w:val="001263BE"/>
    <w:rsid w:val="001356F1"/>
    <w:rsid w:val="00136994"/>
    <w:rsid w:val="0014128E"/>
    <w:rsid w:val="00151888"/>
    <w:rsid w:val="001533F1"/>
    <w:rsid w:val="00157606"/>
    <w:rsid w:val="00170A2D"/>
    <w:rsid w:val="001808BC"/>
    <w:rsid w:val="00182B81"/>
    <w:rsid w:val="0018619D"/>
    <w:rsid w:val="001A011E"/>
    <w:rsid w:val="001A066A"/>
    <w:rsid w:val="001A13E6"/>
    <w:rsid w:val="001A4E08"/>
    <w:rsid w:val="001A5731"/>
    <w:rsid w:val="001B42C3"/>
    <w:rsid w:val="001B7B0D"/>
    <w:rsid w:val="001C5D5E"/>
    <w:rsid w:val="001C67C5"/>
    <w:rsid w:val="001D0ACC"/>
    <w:rsid w:val="001D678D"/>
    <w:rsid w:val="001E03F8"/>
    <w:rsid w:val="001E1678"/>
    <w:rsid w:val="001E3376"/>
    <w:rsid w:val="0020263A"/>
    <w:rsid w:val="002069B3"/>
    <w:rsid w:val="002329CF"/>
    <w:rsid w:val="00232F5B"/>
    <w:rsid w:val="00247C29"/>
    <w:rsid w:val="00250B2E"/>
    <w:rsid w:val="00260467"/>
    <w:rsid w:val="00263EA3"/>
    <w:rsid w:val="00264139"/>
    <w:rsid w:val="00281815"/>
    <w:rsid w:val="00284F85"/>
    <w:rsid w:val="00290915"/>
    <w:rsid w:val="002A22E2"/>
    <w:rsid w:val="002A3BF5"/>
    <w:rsid w:val="002A7E9C"/>
    <w:rsid w:val="002C64F7"/>
    <w:rsid w:val="002D0C99"/>
    <w:rsid w:val="002E3E33"/>
    <w:rsid w:val="002F24ED"/>
    <w:rsid w:val="002F41F2"/>
    <w:rsid w:val="002F6F50"/>
    <w:rsid w:val="00301BF3"/>
    <w:rsid w:val="0030208D"/>
    <w:rsid w:val="00323418"/>
    <w:rsid w:val="003357BF"/>
    <w:rsid w:val="00344001"/>
    <w:rsid w:val="00364FAD"/>
    <w:rsid w:val="0036738F"/>
    <w:rsid w:val="0036759C"/>
    <w:rsid w:val="00367AE5"/>
    <w:rsid w:val="00367D71"/>
    <w:rsid w:val="0038150A"/>
    <w:rsid w:val="00381A17"/>
    <w:rsid w:val="003826C2"/>
    <w:rsid w:val="00397FF1"/>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440F1"/>
    <w:rsid w:val="004456DD"/>
    <w:rsid w:val="00446CDF"/>
    <w:rsid w:val="004521B7"/>
    <w:rsid w:val="00452AA4"/>
    <w:rsid w:val="00452AFC"/>
    <w:rsid w:val="00456B49"/>
    <w:rsid w:val="00462AB5"/>
    <w:rsid w:val="00465EAF"/>
    <w:rsid w:val="004722BD"/>
    <w:rsid w:val="004738C5"/>
    <w:rsid w:val="00473FE9"/>
    <w:rsid w:val="004761CB"/>
    <w:rsid w:val="00491046"/>
    <w:rsid w:val="004A2AC7"/>
    <w:rsid w:val="004A406E"/>
    <w:rsid w:val="004A6D2F"/>
    <w:rsid w:val="004B17AB"/>
    <w:rsid w:val="004C2887"/>
    <w:rsid w:val="004D2626"/>
    <w:rsid w:val="004D6E26"/>
    <w:rsid w:val="004D77D3"/>
    <w:rsid w:val="004E2959"/>
    <w:rsid w:val="004F20EF"/>
    <w:rsid w:val="0050321C"/>
    <w:rsid w:val="00506B9D"/>
    <w:rsid w:val="00533B07"/>
    <w:rsid w:val="00533C64"/>
    <w:rsid w:val="0054712D"/>
    <w:rsid w:val="00547EF6"/>
    <w:rsid w:val="005570B5"/>
    <w:rsid w:val="00567E18"/>
    <w:rsid w:val="00575F5F"/>
    <w:rsid w:val="00581805"/>
    <w:rsid w:val="00585F76"/>
    <w:rsid w:val="005A34E4"/>
    <w:rsid w:val="005B17F2"/>
    <w:rsid w:val="005B7FB0"/>
    <w:rsid w:val="005C277E"/>
    <w:rsid w:val="005C35A5"/>
    <w:rsid w:val="005C577C"/>
    <w:rsid w:val="005D0621"/>
    <w:rsid w:val="005D1E27"/>
    <w:rsid w:val="005D2A3E"/>
    <w:rsid w:val="005E022E"/>
    <w:rsid w:val="005E5215"/>
    <w:rsid w:val="005F36C5"/>
    <w:rsid w:val="005F7F7E"/>
    <w:rsid w:val="00604489"/>
    <w:rsid w:val="0061279E"/>
    <w:rsid w:val="00614693"/>
    <w:rsid w:val="00623C2F"/>
    <w:rsid w:val="00633578"/>
    <w:rsid w:val="00637068"/>
    <w:rsid w:val="00650811"/>
    <w:rsid w:val="00651559"/>
    <w:rsid w:val="00661D3E"/>
    <w:rsid w:val="00666EFD"/>
    <w:rsid w:val="00692627"/>
    <w:rsid w:val="006969E7"/>
    <w:rsid w:val="006A3643"/>
    <w:rsid w:val="006C2A29"/>
    <w:rsid w:val="006C64CF"/>
    <w:rsid w:val="006D0B1F"/>
    <w:rsid w:val="006D17B1"/>
    <w:rsid w:val="006D4752"/>
    <w:rsid w:val="006D708A"/>
    <w:rsid w:val="006E14C1"/>
    <w:rsid w:val="006E6C75"/>
    <w:rsid w:val="006F0292"/>
    <w:rsid w:val="006F27FA"/>
    <w:rsid w:val="006F416B"/>
    <w:rsid w:val="006F519B"/>
    <w:rsid w:val="00713675"/>
    <w:rsid w:val="007147A7"/>
    <w:rsid w:val="00715823"/>
    <w:rsid w:val="0072259D"/>
    <w:rsid w:val="00731FFA"/>
    <w:rsid w:val="00737B93"/>
    <w:rsid w:val="00745BF0"/>
    <w:rsid w:val="007615FE"/>
    <w:rsid w:val="007658AC"/>
    <w:rsid w:val="0076655C"/>
    <w:rsid w:val="007742DC"/>
    <w:rsid w:val="00777336"/>
    <w:rsid w:val="00791437"/>
    <w:rsid w:val="007A1408"/>
    <w:rsid w:val="007B0C2C"/>
    <w:rsid w:val="007B278E"/>
    <w:rsid w:val="007B3C94"/>
    <w:rsid w:val="007C5C23"/>
    <w:rsid w:val="007C7A97"/>
    <w:rsid w:val="007E1F04"/>
    <w:rsid w:val="007E2A26"/>
    <w:rsid w:val="007F2348"/>
    <w:rsid w:val="00801D6C"/>
    <w:rsid w:val="00803F07"/>
    <w:rsid w:val="008060AA"/>
    <w:rsid w:val="0080749A"/>
    <w:rsid w:val="008174BF"/>
    <w:rsid w:val="00821FB8"/>
    <w:rsid w:val="00822ACD"/>
    <w:rsid w:val="008308BC"/>
    <w:rsid w:val="008379E3"/>
    <w:rsid w:val="00854080"/>
    <w:rsid w:val="00855C66"/>
    <w:rsid w:val="0086095D"/>
    <w:rsid w:val="00861414"/>
    <w:rsid w:val="00871EE4"/>
    <w:rsid w:val="00882DC9"/>
    <w:rsid w:val="008B293F"/>
    <w:rsid w:val="008B7371"/>
    <w:rsid w:val="008D3DDB"/>
    <w:rsid w:val="008F573F"/>
    <w:rsid w:val="009034EC"/>
    <w:rsid w:val="0093067A"/>
    <w:rsid w:val="00934B61"/>
    <w:rsid w:val="00941C60"/>
    <w:rsid w:val="009477A8"/>
    <w:rsid w:val="00966D42"/>
    <w:rsid w:val="00970E3B"/>
    <w:rsid w:val="00971689"/>
    <w:rsid w:val="00973E90"/>
    <w:rsid w:val="0097582C"/>
    <w:rsid w:val="00975B07"/>
    <w:rsid w:val="00980B4A"/>
    <w:rsid w:val="009A2EB5"/>
    <w:rsid w:val="009B49FF"/>
    <w:rsid w:val="009E3D0A"/>
    <w:rsid w:val="009E51FC"/>
    <w:rsid w:val="009F1D28"/>
    <w:rsid w:val="009F7618"/>
    <w:rsid w:val="00A04D23"/>
    <w:rsid w:val="00A0521F"/>
    <w:rsid w:val="00A06766"/>
    <w:rsid w:val="00A13765"/>
    <w:rsid w:val="00A21B12"/>
    <w:rsid w:val="00A23F80"/>
    <w:rsid w:val="00A43055"/>
    <w:rsid w:val="00A46E98"/>
    <w:rsid w:val="00A512AA"/>
    <w:rsid w:val="00A6352B"/>
    <w:rsid w:val="00A701B5"/>
    <w:rsid w:val="00A714BB"/>
    <w:rsid w:val="00A92D8F"/>
    <w:rsid w:val="00AA25F6"/>
    <w:rsid w:val="00AB168C"/>
    <w:rsid w:val="00AB1E10"/>
    <w:rsid w:val="00AB2988"/>
    <w:rsid w:val="00AB719A"/>
    <w:rsid w:val="00AB7999"/>
    <w:rsid w:val="00AD3292"/>
    <w:rsid w:val="00AE7AF0"/>
    <w:rsid w:val="00AF080E"/>
    <w:rsid w:val="00B500CA"/>
    <w:rsid w:val="00B52CE1"/>
    <w:rsid w:val="00B614F7"/>
    <w:rsid w:val="00B61C66"/>
    <w:rsid w:val="00B66DE5"/>
    <w:rsid w:val="00B774B2"/>
    <w:rsid w:val="00B86314"/>
    <w:rsid w:val="00B92DC9"/>
    <w:rsid w:val="00BA1C2E"/>
    <w:rsid w:val="00BB1B95"/>
    <w:rsid w:val="00BB4EE7"/>
    <w:rsid w:val="00BC200B"/>
    <w:rsid w:val="00BC4756"/>
    <w:rsid w:val="00BC69A4"/>
    <w:rsid w:val="00BE0680"/>
    <w:rsid w:val="00BE305F"/>
    <w:rsid w:val="00BE7BA3"/>
    <w:rsid w:val="00BF5682"/>
    <w:rsid w:val="00BF7B09"/>
    <w:rsid w:val="00C118A4"/>
    <w:rsid w:val="00C20A95"/>
    <w:rsid w:val="00C2229E"/>
    <w:rsid w:val="00C2692F"/>
    <w:rsid w:val="00C3201E"/>
    <w:rsid w:val="00C3207C"/>
    <w:rsid w:val="00C400E1"/>
    <w:rsid w:val="00C41187"/>
    <w:rsid w:val="00C54169"/>
    <w:rsid w:val="00C63C31"/>
    <w:rsid w:val="00C757A0"/>
    <w:rsid w:val="00C760DE"/>
    <w:rsid w:val="00C82630"/>
    <w:rsid w:val="00C85B4E"/>
    <w:rsid w:val="00C907F7"/>
    <w:rsid w:val="00CA0AD6"/>
    <w:rsid w:val="00CA2103"/>
    <w:rsid w:val="00CA349E"/>
    <w:rsid w:val="00CA76EF"/>
    <w:rsid w:val="00CB6B99"/>
    <w:rsid w:val="00CE321A"/>
    <w:rsid w:val="00CE4C87"/>
    <w:rsid w:val="00CE544A"/>
    <w:rsid w:val="00D11E1C"/>
    <w:rsid w:val="00D160B0"/>
    <w:rsid w:val="00D17F94"/>
    <w:rsid w:val="00D223FC"/>
    <w:rsid w:val="00D26D1E"/>
    <w:rsid w:val="00D474CF"/>
    <w:rsid w:val="00D5547E"/>
    <w:rsid w:val="00D57A34"/>
    <w:rsid w:val="00D637C7"/>
    <w:rsid w:val="00D6630A"/>
    <w:rsid w:val="00D75E82"/>
    <w:rsid w:val="00D82098"/>
    <w:rsid w:val="00D869A1"/>
    <w:rsid w:val="00D965E6"/>
    <w:rsid w:val="00DA413F"/>
    <w:rsid w:val="00DA4584"/>
    <w:rsid w:val="00DA614B"/>
    <w:rsid w:val="00DB2420"/>
    <w:rsid w:val="00DC3060"/>
    <w:rsid w:val="00DD58A7"/>
    <w:rsid w:val="00DE0FB2"/>
    <w:rsid w:val="00DF093E"/>
    <w:rsid w:val="00E01112"/>
    <w:rsid w:val="00E01F42"/>
    <w:rsid w:val="00E17EDD"/>
    <w:rsid w:val="00E206D6"/>
    <w:rsid w:val="00E3366E"/>
    <w:rsid w:val="00E52086"/>
    <w:rsid w:val="00E543A6"/>
    <w:rsid w:val="00E60479"/>
    <w:rsid w:val="00E61D73"/>
    <w:rsid w:val="00E67313"/>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F05ECA"/>
    <w:rsid w:val="00F324D1"/>
    <w:rsid w:val="00F32786"/>
    <w:rsid w:val="00F3566E"/>
    <w:rsid w:val="00F36533"/>
    <w:rsid w:val="00F375FB"/>
    <w:rsid w:val="00F41AC1"/>
    <w:rsid w:val="00F4367A"/>
    <w:rsid w:val="00F445B1"/>
    <w:rsid w:val="00F45CD4"/>
    <w:rsid w:val="00F66DCA"/>
    <w:rsid w:val="00F72DA1"/>
    <w:rsid w:val="00F74F53"/>
    <w:rsid w:val="00F7606D"/>
    <w:rsid w:val="00F81670"/>
    <w:rsid w:val="00F82024"/>
    <w:rsid w:val="00F854FB"/>
    <w:rsid w:val="00F95BC9"/>
    <w:rsid w:val="00FA624C"/>
    <w:rsid w:val="00FB498D"/>
    <w:rsid w:val="00FB6DAE"/>
    <w:rsid w:val="00FD0FAC"/>
    <w:rsid w:val="00FD1DFA"/>
    <w:rsid w:val="00FD4966"/>
    <w:rsid w:val="00FE40F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7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00552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D0C6-7850-457F-9F47-F3AD6066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78D06366</Template>
  <TotalTime>16</TotalTime>
  <Pages>11</Pages>
  <Words>3136</Words>
  <Characters>16608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cphythian</cp:lastModifiedBy>
  <cp:revision>9</cp:revision>
  <cp:lastPrinted>2015-07-03T13:50:00Z</cp:lastPrinted>
  <dcterms:created xsi:type="dcterms:W3CDTF">2019-11-15T10:38:00Z</dcterms:created>
  <dcterms:modified xsi:type="dcterms:W3CDTF">2020-01-06T14:21:00Z</dcterms:modified>
</cp:coreProperties>
</file>